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6CA9" w14:textId="77777777" w:rsidR="00D75791" w:rsidRPr="00230D60" w:rsidRDefault="00D75791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69E4706D" w14:textId="77777777" w:rsidR="00D75791" w:rsidRPr="00230D60" w:rsidRDefault="00D75791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7BB9E80D" w14:textId="77777777" w:rsidR="00024AE7" w:rsidRPr="00230D60" w:rsidRDefault="009657B5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Bau EPD </w:t>
      </w:r>
      <w:r w:rsidR="00024AE7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GmbH</w:t>
      </w:r>
    </w:p>
    <w:p w14:paraId="26082E7D" w14:textId="57A374FA" w:rsidR="00024AE7" w:rsidRPr="00230D60" w:rsidRDefault="00F05979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Programme operator for EPD creation as per</w:t>
      </w:r>
      <w:r w:rsidR="00D75791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 EN 15804 </w:t>
      </w: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a</w:t>
      </w:r>
      <w:r w:rsidR="00D75791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nd ISO 14025</w:t>
      </w:r>
    </w:p>
    <w:p w14:paraId="22EC3D51" w14:textId="77777777" w:rsidR="00024AE7" w:rsidRPr="00230D60" w:rsidRDefault="00024AE7" w:rsidP="00024AE7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</w:p>
    <w:p w14:paraId="5BF8FFFA" w14:textId="77777777" w:rsidR="00024AE7" w:rsidRPr="00230D60" w:rsidRDefault="00024AE7" w:rsidP="00024AE7">
      <w:pPr>
        <w:spacing w:after="0"/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</w:p>
    <w:p w14:paraId="7A80F275" w14:textId="10B42CC5" w:rsidR="00024AE7" w:rsidRPr="00230D60" w:rsidRDefault="00F05979" w:rsidP="00024AE7">
      <w:pPr>
        <w:spacing w:after="0"/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/>
        </w:rPr>
        <w:t>Members of the PCR panel:</w:t>
      </w:r>
    </w:p>
    <w:p w14:paraId="3FE26E23" w14:textId="77777777" w:rsidR="00D75791" w:rsidRPr="00230D60" w:rsidRDefault="00D75791" w:rsidP="005612FC">
      <w:pPr>
        <w:jc w:val="right"/>
        <w:rPr>
          <w:b/>
          <w:bCs/>
          <w:color w:val="000000" w:themeColor="text1"/>
          <w:spacing w:val="-15"/>
          <w:sz w:val="30"/>
          <w:szCs w:val="30"/>
          <w:lang w:val="en-GB"/>
        </w:rPr>
      </w:pPr>
    </w:p>
    <w:p w14:paraId="6CA80376" w14:textId="075C9A42" w:rsidR="00294438" w:rsidRPr="00230D60" w:rsidRDefault="00F05979" w:rsidP="00294438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  <w:r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Chair PCR panel</w:t>
      </w:r>
      <w:r w:rsidR="00294438"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:</w:t>
      </w:r>
    </w:p>
    <w:p w14:paraId="0499C267" w14:textId="77777777" w:rsidR="00294438" w:rsidRPr="00230D60" w:rsidRDefault="00000000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hyperlink r:id="rId7" w:history="1">
        <w:r w:rsidR="00294438" w:rsidRPr="00230D60">
          <w:rPr>
            <w:rFonts w:ascii="Helvetica" w:hAnsi="Helvetica" w:cs="Helvetica"/>
            <w:noProof/>
            <w:color w:val="000000" w:themeColor="text1"/>
            <w:sz w:val="20"/>
            <w:szCs w:val="20"/>
            <w:lang w:val="en-GB" w:eastAsia="en-US"/>
          </w:rPr>
          <w:drawing>
            <wp:inline distT="0" distB="0" distL="0" distR="0" wp14:anchorId="171AF769" wp14:editId="009225D4">
              <wp:extent cx="1143000" cy="1314450"/>
              <wp:effectExtent l="0" t="0" r="0" b="0"/>
              <wp:docPr id="1" name="Grafik 1" descr="SONY DSC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ONY DSC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94438"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br/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Dipl.-Ing. </w:t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Dr.</w:t>
      </w:r>
      <w:proofErr w:type="spellEnd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sc. ETHZ Florian </w:t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Gschösser</w:t>
      </w:r>
      <w:proofErr w:type="spellEnd"/>
    </w:p>
    <w:p w14:paraId="19C398B3" w14:textId="18B71C03" w:rsidR="00294438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University of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Innsbruck 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hyperlink r:id="rId9" w:anchor="structural-engineering-material-sciences" w:history="1">
        <w:r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Technikerstraße</w:t>
      </w:r>
      <w:proofErr w:type="spellEnd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13, 6020 Innsbruck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  <w:t>Tel. +43 512 50763103 | Fax: +43 512 5072994 | E-Mail: </w:t>
      </w:r>
      <w:hyperlink r:id="rId10" w:history="1">
        <w:r w:rsidR="009219B1" w:rsidRPr="00230D60">
          <w:rPr>
            <w:rStyle w:val="Hyperlink"/>
            <w:rFonts w:ascii="Helvetica" w:hAnsi="Helvetica" w:cs="Helvetica"/>
            <w:sz w:val="20"/>
            <w:szCs w:val="20"/>
            <w:lang w:val="en-GB"/>
          </w:rPr>
          <w:t>florian.gschoesser@uibk.ac.at</w:t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</w:p>
    <w:p w14:paraId="6EA7F627" w14:textId="26822EB7" w:rsidR="00F05979" w:rsidRPr="00230D60" w:rsidRDefault="00F05979" w:rsidP="00F05979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University </w:t>
      </w:r>
      <w:proofErr w:type="spellStart"/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Assistent</w:t>
      </w:r>
      <w:proofErr w:type="spellEnd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l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e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c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ure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r,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research panel, member of several standardisation TCs, resp. CEN TC 350 "Sustainability of construction works"</w:t>
      </w:r>
    </w:p>
    <w:p w14:paraId="7D9FA8CA" w14:textId="3835A9AE" w:rsidR="00294438" w:rsidRPr="00230D60" w:rsidRDefault="00F05979" w:rsidP="00294438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  <w:r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Vice chairperson PCR panel</w:t>
      </w:r>
      <w:r w:rsidR="00294438"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:</w:t>
      </w:r>
    </w:p>
    <w:p w14:paraId="711B4BDC" w14:textId="77777777" w:rsidR="00584B3F" w:rsidRPr="00230D60" w:rsidRDefault="00294438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Mag. </w:t>
      </w:r>
      <w:proofErr w:type="spellStart"/>
      <w:r w:rsidR="00584B3F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Hildegund</w:t>
      </w:r>
      <w:proofErr w:type="spellEnd"/>
      <w:r w:rsidR="00584B3F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 </w:t>
      </w:r>
      <w:r w:rsidR="00134E53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FIGL</w:t>
      </w:r>
    </w:p>
    <w:p w14:paraId="72226E6B" w14:textId="77777777" w:rsidR="00F05979" w:rsidRPr="00230D60" w:rsidRDefault="00584B3F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IBO - </w:t>
      </w:r>
      <w:r w:rsidR="00F05979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Austrian Institute for Healthy and Ecological Building</w:t>
      </w:r>
    </w:p>
    <w:p w14:paraId="36C350FA" w14:textId="77777777" w:rsidR="00F05979" w:rsidRPr="00230D60" w:rsidRDefault="00F05979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proofErr w:type="spellStart"/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A</w:t>
      </w:r>
      <w:r w:rsidR="00584B3F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lserbachstraße</w:t>
      </w:r>
      <w:proofErr w:type="spellEnd"/>
      <w:r w:rsidR="00584B3F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 5/8, A-1090 </w:t>
      </w: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Vienna</w:t>
      </w:r>
    </w:p>
    <w:p w14:paraId="3F3A2824" w14:textId="753E751E" w:rsidR="00294438" w:rsidRPr="00230D60" w:rsidRDefault="00584B3F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Tel</w:t>
      </w:r>
      <w:r w:rsid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.</w:t>
      </w: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: + 43 (0) 1 319 20 05, Fax: + 43 (0) 1 319 20 05-50, </w:t>
      </w:r>
      <w:hyperlink r:id="rId11" w:history="1">
        <w:r w:rsidRPr="00230D60">
          <w:rPr>
            <w:rFonts w:ascii="Helvetica" w:eastAsia="Times New Roman" w:hAnsi="Helvetica" w:cs="Helvetica"/>
            <w:b w:val="0"/>
            <w:bCs w:val="0"/>
            <w:color w:val="000000" w:themeColor="text1"/>
            <w:sz w:val="20"/>
            <w:szCs w:val="20"/>
            <w:lang w:val="en-GB" w:eastAsia="de-AT"/>
          </w:rPr>
          <w:t>ibo@ibo.at</w:t>
        </w:r>
      </w:hyperlink>
    </w:p>
    <w:p w14:paraId="3522B23D" w14:textId="4C1A18C1" w:rsidR="00584B3F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Research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building material ecology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member of several standardisation TCs, resp.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CEN TC 350 "Sustainability of construction works"</w:t>
      </w:r>
    </w:p>
    <w:p w14:paraId="69426D4C" w14:textId="77777777" w:rsidR="00F05979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</w:p>
    <w:p w14:paraId="74AD3E39" w14:textId="6615154E" w:rsidR="00294438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Active members</w:t>
      </w:r>
      <w:r w:rsidR="004C1392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 (</w:t>
      </w: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creation of PCR documents)</w:t>
      </w:r>
      <w:r w:rsidR="00584B3F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:</w:t>
      </w:r>
    </w:p>
    <w:p w14:paraId="35390FB6" w14:textId="10FC53AB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Roman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Smutny</w:t>
      </w:r>
      <w:proofErr w:type="spellEnd"/>
      <w:r w:rsidR="005612FC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(</w:t>
      </w:r>
      <w:r w:rsidR="00230D60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vice chairperson</w:t>
      </w:r>
      <w:r w:rsidR="005612FC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)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Univ</w:t>
      </w:r>
      <w:r w:rsidR="00230D60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ersity of natural resources and life sciences, Vienna, University Assistant, lecturer</w:t>
      </w:r>
    </w:p>
    <w:p w14:paraId="691C8E75" w14:textId="0993C1A1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Franz Dolezal, </w:t>
      </w:r>
      <w:r w:rsidR="00134E53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IBO</w:t>
      </w:r>
      <w:r w:rsidR="00230D60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- Austrian Institute for Healthy and Ecological Building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building physics, building materials ecology</w:t>
      </w:r>
    </w:p>
    <w:p w14:paraId="07921A70" w14:textId="3C910735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Philipp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Boogman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IBO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- </w:t>
      </w:r>
      <w:r w:rsidR="00230D60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Austrian Institute for Healthy and Ecological Building</w:t>
      </w:r>
      <w:r w:rsidR="00B05CF1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leader</w:t>
      </w:r>
      <w:r w:rsidR="00B05CF1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building materials ecology</w:t>
      </w:r>
    </w:p>
    <w:p w14:paraId="0B0CFECD" w14:textId="6CB0589B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Andreas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Windsperger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Institut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 for industrial ecology, leader department process engineering, biotechnology</w:t>
      </w:r>
    </w:p>
    <w:p w14:paraId="0C97B639" w14:textId="2DF642AE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Adolf Merl, </w:t>
      </w:r>
      <w:proofErr w:type="spellStart"/>
      <w:r w:rsidR="00944EC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="00944EC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</w:t>
      </w:r>
      <w:r w:rsidR="00944EC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nd Merl GmbH</w:t>
      </w:r>
      <w:r w:rsidR="00ED1BED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focus LCA calculation</w:t>
      </w:r>
    </w:p>
    <w:p w14:paraId="33366194" w14:textId="26389546" w:rsidR="00944EC2" w:rsidRPr="00230D60" w:rsidRDefault="00944EC2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Therese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nd Merl GmbH</w:t>
      </w:r>
      <w:r w:rsidR="00ED1BED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focus LCA calculation</w:t>
      </w:r>
    </w:p>
    <w:p w14:paraId="484A3F6F" w14:textId="6F49CF24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Richard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Obernosterer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Re</w:t>
      </w:r>
      <w:r w:rsidR="00CD6FEE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ource Management Agen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-RMA</w:t>
      </w:r>
      <w:r w:rsidR="004C139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managing director</w:t>
      </w:r>
    </w:p>
    <w:p w14:paraId="350AF0F8" w14:textId="296D9A44" w:rsidR="00CB0D28" w:rsidRPr="00CB0D28" w:rsidRDefault="00584B3F" w:rsidP="00CB0D28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Andreas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Karitnig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proofErr w:type="spellStart"/>
      <w:r w:rsidR="00134E53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Genio</w:t>
      </w:r>
      <w:proofErr w:type="spellEnd"/>
      <w:r w:rsidR="00134E53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GmbH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focus LCA calculation</w:t>
      </w:r>
    </w:p>
    <w:p w14:paraId="202BC2D8" w14:textId="5870C263" w:rsidR="00CB0D28" w:rsidRPr="00CB0D28" w:rsidRDefault="00584B3F" w:rsidP="00CB0D28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techn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. MSc Alexander Passer, </w:t>
      </w:r>
      <w:bookmarkStart w:id="0" w:name="_Hlk55214171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T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echnical University of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Graz,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University Assistant, </w:t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fldChar w:fldCharType="begin"/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instrText xml:space="preserve"> HYPERLINK "https://www.tugraz.at/arbeitsgruppen/working-group-sustainability-assessment/home/" </w:instrText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fldChar w:fldCharType="separate"/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Institute of Technology and Testing of Construction Materials</w:t>
      </w:r>
    </w:p>
    <w:p w14:paraId="31690CA3" w14:textId="3829D5AF" w:rsidR="00584B3F" w:rsidRPr="00CB0D28" w:rsidRDefault="00CB0D28" w:rsidP="00CB0D28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fldChar w:fldCharType="end"/>
      </w:r>
      <w:bookmarkEnd w:id="0"/>
      <w:r w:rsidR="00584B3F"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Univ.-Prof. DI Dr. techn. </w:t>
      </w:r>
      <w:r w:rsidR="00584B3F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Peter Maydl,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heretofore</w:t>
      </w:r>
      <w:r w:rsidR="00134E53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="00584B3F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T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echnical University of</w:t>
      </w:r>
      <w:r w:rsidR="00584B3F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Graz,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Institute of Technology and Testing of Construction Materials</w:t>
      </w:r>
      <w:r w:rsidR="00134E53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head of Austrian Standards Institute Working Group 11-04 Sustainable Building </w:t>
      </w:r>
    </w:p>
    <w:p w14:paraId="4D4943F5" w14:textId="6AEB3C93" w:rsidR="00584B3F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Hanna Schreiber,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Austrian Environmental Agency</w:t>
      </w:r>
      <w:r w:rsidR="004C139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research, LCA expert</w:t>
      </w:r>
    </w:p>
    <w:p w14:paraId="5D7FC165" w14:textId="2B1D2085" w:rsidR="004828C2" w:rsidRPr="004828C2" w:rsidRDefault="004828C2" w:rsidP="004828C2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74736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Stefan Schweiger, </w:t>
      </w:r>
      <w:r w:rsidRPr="0074736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Austrian Environmental Agency</w:t>
      </w:r>
      <w:r w:rsidRPr="0074736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Pr="0074736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rese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arch, LCA expert</w:t>
      </w:r>
    </w:p>
    <w:p w14:paraId="57ACE04F" w14:textId="60607856" w:rsidR="00CC02A0" w:rsidRDefault="00CC02A0" w:rsidP="003D7F56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(FH) Angela Schindler, </w:t>
      </w:r>
      <w:bookmarkStart w:id="1" w:name="_Hlk55214234"/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Environmental Consulting and Engineering Service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Salem,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Germany, focus LCA </w:t>
      </w:r>
      <w:proofErr w:type="gramStart"/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calculation</w:t>
      </w:r>
      <w:bookmarkEnd w:id="1"/>
      <w:proofErr w:type="gramEnd"/>
    </w:p>
    <w:p w14:paraId="3606A7AD" w14:textId="4CAB0837" w:rsidR="00741DA3" w:rsidRDefault="00741DA3" w:rsidP="00741DA3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DI Victor Vladimirov, </w:t>
      </w:r>
      <w:r w:rsidRPr="00B86171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VUM Verfahren Umwelt Management GmbH,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focus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on LCA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for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energy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carriers</w:t>
      </w:r>
      <w:proofErr w:type="spellEnd"/>
    </w:p>
    <w:p w14:paraId="385B6267" w14:textId="20B0E6EC" w:rsidR="00741DA3" w:rsidRPr="00741DA3" w:rsidRDefault="00741DA3" w:rsidP="00741DA3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Andrea </w:t>
      </w:r>
      <w:proofErr w:type="spellStart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Görth</w:t>
      </w:r>
      <w:proofErr w:type="spellEnd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– </w:t>
      </w:r>
      <w:proofErr w:type="spellStart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Mitplan</w:t>
      </w:r>
      <w:proofErr w:type="spellEnd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GmbH, focus CO2-f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ootprints and sustainability</w:t>
      </w:r>
    </w:p>
    <w:p w14:paraId="6FF57140" w14:textId="77777777" w:rsidR="00741DA3" w:rsidRPr="00741DA3" w:rsidRDefault="00741DA3" w:rsidP="00741DA3">
      <w:pPr>
        <w:pStyle w:val="Listenabsatz"/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</w:p>
    <w:p w14:paraId="1E418A80" w14:textId="77777777" w:rsidR="00DF1437" w:rsidRPr="00741DA3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0808E4D" w14:textId="38747263" w:rsidR="00584B3F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Close cooperation with the PCR advisory board of the Swiss EPD Programme Operator (</w:t>
      </w:r>
      <w:r w:rsidR="00134E53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SÜGB)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a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nd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experts from the technical working group (TEWOG) of 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ECO Platform (</w:t>
      </w:r>
      <w:hyperlink r:id="rId12" w:history="1">
        <w:r w:rsidR="00D75791" w:rsidRPr="00230D60">
          <w:rPr>
            <w:rStyle w:val="Hyperlink"/>
            <w:rFonts w:ascii="Helvetica" w:hAnsi="Helvetica" w:cs="Helvetica"/>
            <w:sz w:val="20"/>
            <w:szCs w:val="20"/>
            <w:lang w:val="en-GB"/>
          </w:rPr>
          <w:t>www.eco-platform.org</w:t>
        </w:r>
      </w:hyperlink>
      <w:proofErr w:type="gramStart"/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) </w:t>
      </w:r>
      <w:r w:rsidR="00134E53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.</w:t>
      </w:r>
      <w:proofErr w:type="gramEnd"/>
    </w:p>
    <w:p w14:paraId="1EDFF65E" w14:textId="77777777" w:rsidR="009219B1" w:rsidRPr="00230D60" w:rsidRDefault="009219B1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</w:p>
    <w:p w14:paraId="10FB3830" w14:textId="3C0EB306" w:rsidR="009219B1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  <w:lang w:val="en-GB"/>
        </w:rPr>
        <w:t>Evidence of further education</w:t>
      </w:r>
    </w:p>
    <w:p w14:paraId="488C5553" w14:textId="6E4E774A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All members of the PCR panel attend to meetings and workshops of Bau EPD GmbH several times a year. The work consists of scientific discussions, creation and commenting of general PCR documents, the Management System Handbook,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creation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and elaboration of text passages. </w:t>
      </w:r>
    </w:p>
    <w:p w14:paraId="6584D551" w14:textId="77777777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All members support the creation and review of product specific PCR-B documents, elaboration, adaptation for new EPD and in case of extension of EPD. Check against PCR documents from ISO,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CEN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or other programme operators. </w:t>
      </w:r>
    </w:p>
    <w:p w14:paraId="63CB3E89" w14:textId="6F643E54" w:rsidR="009219B1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 majority of members are engaged in the 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CEN TC 350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Standardisation TC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„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Sustainable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Building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“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and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in relevant Austrian mirror committees of Austrian Standard Institutes. </w:t>
      </w:r>
    </w:p>
    <w:p w14:paraId="072AF4F3" w14:textId="761D5A89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Nearly all members are engaged in technical committees and expert circles of building certification institutions in German speaking countries.</w:t>
      </w:r>
    </w:p>
    <w:p w14:paraId="7BFE5F47" w14:textId="77777777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Some registered LCA-practitioners and independent verifiers are also working for other European Programme operators – this helps to improve harmonisation and the exchange of knowledge. </w:t>
      </w:r>
    </w:p>
    <w:p w14:paraId="29DC32E6" w14:textId="49F79689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The chairpersons of the PCR panel are listed as ECO Platform auditors and participate in workshops organised by ECO Platform. </w:t>
      </w:r>
    </w:p>
    <w:p w14:paraId="7F9965BC" w14:textId="5CD2D81B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Many members visit and/or organise annual congress formats and scientific events. The topics </w:t>
      </w:r>
      <w:r w:rsidR="007F1CBE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consider sustainable building as well as LCA-expert reunions and workshops about data bases and IT professional knowledge.  </w:t>
      </w:r>
    </w:p>
    <w:p w14:paraId="3AE0E8BD" w14:textId="6C9FA792" w:rsidR="00E806CE" w:rsidRPr="00230D60" w:rsidRDefault="007F1CBE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Some members work on behalf of the European Commission or </w:t>
      </w:r>
      <w:r w:rsidR="00FF222B">
        <w:rPr>
          <w:rFonts w:ascii="Helvetica" w:hAnsi="Helvetica" w:cs="Helvetica"/>
          <w:color w:val="000000" w:themeColor="text1"/>
          <w:sz w:val="20"/>
          <w:szCs w:val="20"/>
          <w:lang w:val="en-GB"/>
        </w:rPr>
        <w:t>d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epartments of the Austrian Government and deliver comments and evaluations concerning LCA calculation of products and declaration of environmental performance. </w:t>
      </w:r>
    </w:p>
    <w:p w14:paraId="73AEE1D7" w14:textId="242B05B7" w:rsidR="009219B1" w:rsidRDefault="007F1CBE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The list can be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extended,</w:t>
      </w:r>
      <w:r w:rsidR="00775A2D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if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need, with definite data (names, events). </w:t>
      </w:r>
    </w:p>
    <w:p w14:paraId="2186FFB8" w14:textId="530CFF33" w:rsidR="00654273" w:rsidRPr="0074736B" w:rsidRDefault="00654273" w:rsidP="0074736B">
      <w:pPr>
        <w:rPr>
          <w:lang w:val="en-GB" w:eastAsia="de-AT"/>
        </w:rPr>
      </w:pPr>
    </w:p>
    <w:p w14:paraId="34A71AB3" w14:textId="32747064" w:rsidR="00654273" w:rsidRDefault="00654273" w:rsidP="00654273">
      <w:pP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</w:p>
    <w:p w14:paraId="75575568" w14:textId="29CEB25D" w:rsidR="00654273" w:rsidRPr="0074736B" w:rsidRDefault="00654273" w:rsidP="0074736B">
      <w:pPr>
        <w:tabs>
          <w:tab w:val="left" w:pos="1248"/>
        </w:tabs>
        <w:rPr>
          <w:lang w:val="en-GB" w:eastAsia="de-AT"/>
        </w:rPr>
      </w:pPr>
      <w:r>
        <w:rPr>
          <w:lang w:val="en-GB" w:eastAsia="de-AT"/>
        </w:rPr>
        <w:tab/>
      </w:r>
    </w:p>
    <w:sectPr w:rsidR="00654273" w:rsidRPr="0074736B" w:rsidSect="00230D60">
      <w:headerReference w:type="default" r:id="rId13"/>
      <w:footerReference w:type="default" r:id="rId14"/>
      <w:pgSz w:w="11906" w:h="16838"/>
      <w:pgMar w:top="1417" w:right="1417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B1A5" w14:textId="77777777" w:rsidR="009F0052" w:rsidRDefault="009F0052" w:rsidP="00D75B02">
      <w:pPr>
        <w:spacing w:after="0" w:line="240" w:lineRule="auto"/>
      </w:pPr>
      <w:r>
        <w:separator/>
      </w:r>
    </w:p>
  </w:endnote>
  <w:endnote w:type="continuationSeparator" w:id="0">
    <w:p w14:paraId="0F8C39F7" w14:textId="77777777" w:rsidR="009F0052" w:rsidRDefault="009F0052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BE5D" w14:textId="4C1A9F3E" w:rsidR="00230D60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4"/>
        <w:szCs w:val="14"/>
        <w:lang w:val="en-GB"/>
      </w:rPr>
    </w:pPr>
    <w:r w:rsidRPr="00230D60">
      <w:rPr>
        <w:rFonts w:cs="Arial"/>
        <w:bCs/>
        <w:sz w:val="14"/>
        <w:szCs w:val="14"/>
        <w:lang w:val="de-AT"/>
      </w:rPr>
      <w:fldChar w:fldCharType="begin"/>
    </w:r>
    <w:r w:rsidRPr="00741DA3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30D60">
      <w:rPr>
        <w:rFonts w:cs="Arial"/>
        <w:bCs/>
        <w:sz w:val="14"/>
        <w:szCs w:val="14"/>
        <w:lang w:val="de-AT"/>
      </w:rPr>
      <w:fldChar w:fldCharType="separate"/>
    </w:r>
    <w:r w:rsidR="00582CD1">
      <w:rPr>
        <w:rFonts w:cs="Arial"/>
        <w:bCs/>
        <w:noProof/>
        <w:sz w:val="14"/>
        <w:szCs w:val="14"/>
        <w:lang w:val="en-GB"/>
      </w:rPr>
      <w:t>C:\Users\Sarah\OwnBauepd\Bau EPD GmbH\006 - QM PKR PGF\PKR Allgemein-MS-HB+M-Docs\English-MS-HB and M-Docs\BAU-EPD-M-DOCUMENT-05-list-of-members-of-PCR-panel-plus-evidence-of-education-version2.0-date-2023-01-27-English-Website.docx</w:t>
    </w:r>
    <w:r w:rsidRPr="00230D60">
      <w:rPr>
        <w:rFonts w:cs="Arial"/>
        <w:bCs/>
        <w:sz w:val="14"/>
        <w:szCs w:val="14"/>
        <w:lang w:val="de-AT"/>
      </w:rPr>
      <w:fldChar w:fldCharType="end"/>
    </w:r>
  </w:p>
  <w:p w14:paraId="6A807B3B" w14:textId="77777777" w:rsidR="00230D60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</w:p>
  <w:p w14:paraId="666798E0" w14:textId="0E40E43C" w:rsidR="00D75791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  <w:r w:rsidRPr="00741DA3">
      <w:rPr>
        <w:rFonts w:cs="Arial"/>
        <w:bCs/>
        <w:sz w:val="18"/>
        <w:szCs w:val="18"/>
        <w:lang w:val="en-GB"/>
      </w:rPr>
      <w:t>page</w:t>
    </w:r>
    <w:r w:rsidR="00D75791" w:rsidRPr="00741DA3">
      <w:rPr>
        <w:rFonts w:cs="Arial"/>
        <w:bCs/>
        <w:sz w:val="18"/>
        <w:szCs w:val="18"/>
        <w:lang w:val="en-GB"/>
      </w:rPr>
      <w:t xml:space="preserve">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741DA3">
      <w:rPr>
        <w:rFonts w:cs="Arial"/>
        <w:bCs/>
        <w:sz w:val="18"/>
        <w:szCs w:val="18"/>
        <w:lang w:val="en-GB"/>
      </w:rPr>
      <w:instrText xml:space="preserve"> PAGE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E806CE" w:rsidRPr="00741DA3">
      <w:rPr>
        <w:rFonts w:cs="Arial"/>
        <w:bCs/>
        <w:noProof/>
        <w:sz w:val="18"/>
        <w:szCs w:val="18"/>
        <w:lang w:val="en-GB"/>
      </w:rPr>
      <w:t>3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741DA3">
      <w:rPr>
        <w:rFonts w:cs="Arial"/>
        <w:bCs/>
        <w:sz w:val="18"/>
        <w:szCs w:val="18"/>
        <w:lang w:val="en-GB"/>
      </w:rPr>
      <w:t xml:space="preserve"> /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741DA3">
      <w:rPr>
        <w:rFonts w:cs="Arial"/>
        <w:bCs/>
        <w:sz w:val="18"/>
        <w:szCs w:val="18"/>
        <w:lang w:val="en-GB"/>
      </w:rPr>
      <w:instrText xml:space="preserve"> NUMPAGES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E806CE" w:rsidRPr="00741DA3">
      <w:rPr>
        <w:rFonts w:cs="Arial"/>
        <w:bCs/>
        <w:noProof/>
        <w:sz w:val="18"/>
        <w:szCs w:val="18"/>
        <w:lang w:val="en-GB"/>
      </w:rPr>
      <w:t>3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741DA3">
      <w:rPr>
        <w:rFonts w:cs="Arial"/>
        <w:bCs/>
        <w:sz w:val="18"/>
        <w:szCs w:val="18"/>
        <w:lang w:val="en-GB"/>
      </w:rPr>
      <w:tab/>
    </w:r>
    <w:r w:rsidRPr="00741DA3">
      <w:rPr>
        <w:rFonts w:cs="Arial"/>
        <w:bCs/>
        <w:sz w:val="18"/>
        <w:szCs w:val="18"/>
        <w:lang w:val="en-GB"/>
      </w:rPr>
      <w:t>creator</w:t>
    </w:r>
    <w:r w:rsidR="00D75791" w:rsidRPr="00741DA3">
      <w:rPr>
        <w:rFonts w:cs="Arial"/>
        <w:bCs/>
        <w:sz w:val="18"/>
        <w:szCs w:val="18"/>
        <w:lang w:val="en-GB"/>
      </w:rPr>
      <w:t>: FG</w:t>
    </w:r>
  </w:p>
  <w:p w14:paraId="2F60C562" w14:textId="6BA15AD0" w:rsidR="00D75791" w:rsidRPr="00741DA3" w:rsidRDefault="00D75791" w:rsidP="00D75791">
    <w:pPr>
      <w:pStyle w:val="Fuzeile"/>
      <w:tabs>
        <w:tab w:val="clear" w:pos="4703"/>
        <w:tab w:val="right" w:pos="9214"/>
      </w:tabs>
      <w:rPr>
        <w:sz w:val="18"/>
        <w:szCs w:val="18"/>
        <w:lang w:val="en-GB"/>
      </w:rPr>
    </w:pPr>
    <w:r w:rsidRPr="00741DA3">
      <w:rPr>
        <w:rFonts w:cs="Arial"/>
        <w:bCs/>
        <w:sz w:val="18"/>
        <w:szCs w:val="18"/>
        <w:lang w:val="en-GB"/>
      </w:rPr>
      <w:tab/>
    </w:r>
    <w:r w:rsidR="00230D60" w:rsidRPr="00741DA3">
      <w:rPr>
        <w:rFonts w:cs="Arial"/>
        <w:bCs/>
        <w:sz w:val="18"/>
        <w:szCs w:val="18"/>
        <w:lang w:val="en-GB"/>
      </w:rPr>
      <w:t>verified and approved by</w:t>
    </w:r>
    <w:r w:rsidRPr="00741DA3">
      <w:rPr>
        <w:rFonts w:cs="Arial"/>
        <w:bCs/>
        <w:sz w:val="18"/>
        <w:szCs w:val="18"/>
        <w:lang w:val="en-GB"/>
      </w:rPr>
      <w:t>: SR</w:t>
    </w:r>
  </w:p>
  <w:p w14:paraId="2E810BAE" w14:textId="77777777" w:rsidR="00E37C91" w:rsidRPr="00741DA3" w:rsidRDefault="00E37C91" w:rsidP="00D75791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BE39" w14:textId="77777777" w:rsidR="009F0052" w:rsidRDefault="009F0052" w:rsidP="00D75B02">
      <w:pPr>
        <w:spacing w:after="0" w:line="240" w:lineRule="auto"/>
      </w:pPr>
      <w:r>
        <w:separator/>
      </w:r>
    </w:p>
  </w:footnote>
  <w:footnote w:type="continuationSeparator" w:id="0">
    <w:p w14:paraId="7D0CD00A" w14:textId="77777777" w:rsidR="009F0052" w:rsidRDefault="009F0052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16C3" w14:textId="2F95BB52" w:rsidR="005612FC" w:rsidRPr="00741DA3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8C44FDD" wp14:editId="0E38A043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12FC" w:rsidRPr="00741DA3">
      <w:rPr>
        <w:lang w:val="en-GB"/>
      </w:rPr>
      <w:t>BAU EPD M-</w:t>
    </w:r>
    <w:r w:rsidR="00D75791" w:rsidRPr="00741DA3">
      <w:rPr>
        <w:lang w:val="en-GB"/>
      </w:rPr>
      <w:t>DO</w:t>
    </w:r>
    <w:r w:rsidR="00F05979" w:rsidRPr="00741DA3">
      <w:rPr>
        <w:lang w:val="en-GB"/>
      </w:rPr>
      <w:t>C</w:t>
    </w:r>
    <w:r w:rsidR="00D75791" w:rsidRPr="00741DA3">
      <w:rPr>
        <w:lang w:val="en-GB"/>
      </w:rPr>
      <w:t xml:space="preserve">UMENT </w:t>
    </w:r>
    <w:r w:rsidR="005612FC" w:rsidRPr="00741DA3">
      <w:rPr>
        <w:lang w:val="en-GB"/>
      </w:rPr>
      <w:t>5</w:t>
    </w:r>
  </w:p>
  <w:p w14:paraId="4FF70297" w14:textId="0B15DE61" w:rsidR="00D75791" w:rsidRPr="00741DA3" w:rsidRDefault="00230D60" w:rsidP="00366363">
    <w:pPr>
      <w:pStyle w:val="Kopfzeile"/>
      <w:rPr>
        <w:lang w:val="en-GB"/>
      </w:rPr>
    </w:pPr>
    <w:r w:rsidRPr="00741DA3">
      <w:rPr>
        <w:lang w:val="en-GB"/>
      </w:rPr>
      <w:t>l</w:t>
    </w:r>
    <w:r w:rsidR="00F05979" w:rsidRPr="00741DA3">
      <w:rPr>
        <w:lang w:val="en-GB"/>
      </w:rPr>
      <w:t>ist of members of PCR panel, education</w:t>
    </w:r>
  </w:p>
  <w:p w14:paraId="68F8D270" w14:textId="65768EFF" w:rsidR="00741DA3" w:rsidRDefault="00F244F3" w:rsidP="00366363">
    <w:pPr>
      <w:pStyle w:val="Kopfzeile"/>
      <w:rPr>
        <w:lang w:val="de-AT"/>
      </w:rPr>
    </w:pPr>
    <w:r>
      <w:rPr>
        <w:lang w:val="de-AT"/>
      </w:rPr>
      <w:t>last up</w:t>
    </w:r>
    <w:r w:rsidR="00741DA3">
      <w:rPr>
        <w:lang w:val="de-AT"/>
      </w:rPr>
      <w:t>date</w:t>
    </w:r>
    <w:r w:rsidR="00F05979">
      <w:rPr>
        <w:lang w:val="de-AT"/>
      </w:rPr>
      <w:t xml:space="preserve">: </w:t>
    </w:r>
    <w:r w:rsidR="004828C2">
      <w:rPr>
        <w:lang w:val="de-AT"/>
      </w:rPr>
      <w:t>2023-01-27</w:t>
    </w:r>
  </w:p>
  <w:p w14:paraId="522B4D32" w14:textId="1058AB93" w:rsidR="00D75B02" w:rsidRPr="00385B42" w:rsidRDefault="00741DA3" w:rsidP="00366363">
    <w:pPr>
      <w:pStyle w:val="Kopfzeile"/>
      <w:rPr>
        <w:lang w:val="de-AT"/>
      </w:rPr>
    </w:pPr>
    <w:proofErr w:type="spellStart"/>
    <w:r>
      <w:rPr>
        <w:lang w:val="de-AT"/>
      </w:rPr>
      <w:t>version</w:t>
    </w:r>
    <w:proofErr w:type="spellEnd"/>
    <w:r>
      <w:rPr>
        <w:lang w:val="de-AT"/>
      </w:rPr>
      <w:t xml:space="preserve">: </w:t>
    </w:r>
    <w:r w:rsidR="004828C2">
      <w:rPr>
        <w:lang w:val="de-AT"/>
      </w:rPr>
      <w:t>2</w:t>
    </w:r>
    <w:r>
      <w:rPr>
        <w:lang w:val="de-AT"/>
      </w:rPr>
      <w:t>.0</w:t>
    </w:r>
    <w:r w:rsidR="00366363" w:rsidRPr="00385B42">
      <w:rPr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F1BAFB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2095972473">
    <w:abstractNumId w:val="4"/>
  </w:num>
  <w:num w:numId="2" w16cid:durableId="1354649209">
    <w:abstractNumId w:val="5"/>
  </w:num>
  <w:num w:numId="3" w16cid:durableId="1299338621">
    <w:abstractNumId w:val="3"/>
  </w:num>
  <w:num w:numId="4" w16cid:durableId="1838299214">
    <w:abstractNumId w:val="2"/>
  </w:num>
  <w:num w:numId="5" w16cid:durableId="193814448">
    <w:abstractNumId w:val="2"/>
  </w:num>
  <w:num w:numId="6" w16cid:durableId="1963533891">
    <w:abstractNumId w:val="2"/>
  </w:num>
  <w:num w:numId="7" w16cid:durableId="1795978921">
    <w:abstractNumId w:val="0"/>
  </w:num>
  <w:num w:numId="8" w16cid:durableId="540484883">
    <w:abstractNumId w:val="1"/>
  </w:num>
  <w:num w:numId="9" w16cid:durableId="138969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7D0B"/>
    <w:rsid w:val="00076B99"/>
    <w:rsid w:val="001245B6"/>
    <w:rsid w:val="00134E53"/>
    <w:rsid w:val="001841F1"/>
    <w:rsid w:val="001854EC"/>
    <w:rsid w:val="001A5DA5"/>
    <w:rsid w:val="001C6CA6"/>
    <w:rsid w:val="002076BA"/>
    <w:rsid w:val="002204CD"/>
    <w:rsid w:val="00230D60"/>
    <w:rsid w:val="002713CC"/>
    <w:rsid w:val="0027400E"/>
    <w:rsid w:val="002754E1"/>
    <w:rsid w:val="002909A0"/>
    <w:rsid w:val="00293CDF"/>
    <w:rsid w:val="00294438"/>
    <w:rsid w:val="002C3F52"/>
    <w:rsid w:val="00310BBF"/>
    <w:rsid w:val="003459B2"/>
    <w:rsid w:val="00363794"/>
    <w:rsid w:val="00366363"/>
    <w:rsid w:val="00385B42"/>
    <w:rsid w:val="003926DD"/>
    <w:rsid w:val="003D160E"/>
    <w:rsid w:val="003D7B6A"/>
    <w:rsid w:val="00413343"/>
    <w:rsid w:val="004360FA"/>
    <w:rsid w:val="00436D4B"/>
    <w:rsid w:val="0045292D"/>
    <w:rsid w:val="004828C2"/>
    <w:rsid w:val="00490299"/>
    <w:rsid w:val="004C1392"/>
    <w:rsid w:val="004C5948"/>
    <w:rsid w:val="004F66AB"/>
    <w:rsid w:val="005101A3"/>
    <w:rsid w:val="0052182E"/>
    <w:rsid w:val="005612FC"/>
    <w:rsid w:val="005730DF"/>
    <w:rsid w:val="00582CD1"/>
    <w:rsid w:val="00584B3F"/>
    <w:rsid w:val="00592417"/>
    <w:rsid w:val="005B7CDF"/>
    <w:rsid w:val="005C3673"/>
    <w:rsid w:val="00603EB8"/>
    <w:rsid w:val="006075E4"/>
    <w:rsid w:val="006174CA"/>
    <w:rsid w:val="00630351"/>
    <w:rsid w:val="00654273"/>
    <w:rsid w:val="00662F27"/>
    <w:rsid w:val="006C1963"/>
    <w:rsid w:val="00705F6F"/>
    <w:rsid w:val="00741DA3"/>
    <w:rsid w:val="0074736B"/>
    <w:rsid w:val="00766B7D"/>
    <w:rsid w:val="00774CFD"/>
    <w:rsid w:val="00775A2D"/>
    <w:rsid w:val="00781146"/>
    <w:rsid w:val="007A3C08"/>
    <w:rsid w:val="007B0A7D"/>
    <w:rsid w:val="007B0BCF"/>
    <w:rsid w:val="007C4E1D"/>
    <w:rsid w:val="007E01AF"/>
    <w:rsid w:val="007E5A86"/>
    <w:rsid w:val="007F1CBE"/>
    <w:rsid w:val="00816742"/>
    <w:rsid w:val="00853D4E"/>
    <w:rsid w:val="008744B4"/>
    <w:rsid w:val="008747CF"/>
    <w:rsid w:val="008A0345"/>
    <w:rsid w:val="008A6B8D"/>
    <w:rsid w:val="008B3D43"/>
    <w:rsid w:val="008F6265"/>
    <w:rsid w:val="009219B1"/>
    <w:rsid w:val="00942C9D"/>
    <w:rsid w:val="00944EC2"/>
    <w:rsid w:val="00947A26"/>
    <w:rsid w:val="009657B5"/>
    <w:rsid w:val="00966E80"/>
    <w:rsid w:val="0097540C"/>
    <w:rsid w:val="00987753"/>
    <w:rsid w:val="0099465B"/>
    <w:rsid w:val="009C39DA"/>
    <w:rsid w:val="009D6782"/>
    <w:rsid w:val="009E1FF7"/>
    <w:rsid w:val="009F0052"/>
    <w:rsid w:val="00A7220B"/>
    <w:rsid w:val="00AA2D56"/>
    <w:rsid w:val="00AE55EA"/>
    <w:rsid w:val="00B03CBE"/>
    <w:rsid w:val="00B05CF1"/>
    <w:rsid w:val="00B05E58"/>
    <w:rsid w:val="00B224A3"/>
    <w:rsid w:val="00B35FA7"/>
    <w:rsid w:val="00B455B7"/>
    <w:rsid w:val="00B52FC1"/>
    <w:rsid w:val="00B657B5"/>
    <w:rsid w:val="00B80A20"/>
    <w:rsid w:val="00BA7A75"/>
    <w:rsid w:val="00BC7DE7"/>
    <w:rsid w:val="00BD0231"/>
    <w:rsid w:val="00C2163B"/>
    <w:rsid w:val="00C467F7"/>
    <w:rsid w:val="00C57EA6"/>
    <w:rsid w:val="00C830C7"/>
    <w:rsid w:val="00C83F3C"/>
    <w:rsid w:val="00C8460C"/>
    <w:rsid w:val="00CB0D28"/>
    <w:rsid w:val="00CC02A0"/>
    <w:rsid w:val="00CD20C4"/>
    <w:rsid w:val="00CD5CED"/>
    <w:rsid w:val="00CD6FEE"/>
    <w:rsid w:val="00CE2ABC"/>
    <w:rsid w:val="00D06FFA"/>
    <w:rsid w:val="00D07271"/>
    <w:rsid w:val="00D444E9"/>
    <w:rsid w:val="00D541BD"/>
    <w:rsid w:val="00D75791"/>
    <w:rsid w:val="00D75B02"/>
    <w:rsid w:val="00D7759B"/>
    <w:rsid w:val="00D930AE"/>
    <w:rsid w:val="00DF1437"/>
    <w:rsid w:val="00E25F6A"/>
    <w:rsid w:val="00E33FA5"/>
    <w:rsid w:val="00E37C91"/>
    <w:rsid w:val="00E454EC"/>
    <w:rsid w:val="00E806CE"/>
    <w:rsid w:val="00EA369B"/>
    <w:rsid w:val="00EB4D82"/>
    <w:rsid w:val="00EB6219"/>
    <w:rsid w:val="00ED1BED"/>
    <w:rsid w:val="00F02F0F"/>
    <w:rsid w:val="00F05979"/>
    <w:rsid w:val="00F244F3"/>
    <w:rsid w:val="00F45026"/>
    <w:rsid w:val="00F930FE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8EDB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berarbeitung">
    <w:name w:val="Revision"/>
    <w:hidden/>
    <w:uiPriority w:val="99"/>
    <w:semiHidden/>
    <w:rsid w:val="00482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u-epd.at/wp-content/uploads/2013/09/Foto-Gsch%C3%B6sser.jpg" TargetMode="External"/><Relationship Id="rId12" Type="http://schemas.openxmlformats.org/officeDocument/2006/relationships/hyperlink" Target="http://www.eco-platform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bo@ibo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lorian.gschoesser@uibk.ac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bk.ac.at/fakultaeten/technische-wissenschaften/fakultaet/institute-und-arbeitsbereiche.html.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4</cp:revision>
  <cp:lastPrinted>2023-03-01T12:15:00Z</cp:lastPrinted>
  <dcterms:created xsi:type="dcterms:W3CDTF">2023-03-01T12:14:00Z</dcterms:created>
  <dcterms:modified xsi:type="dcterms:W3CDTF">2023-03-01T12:15:00Z</dcterms:modified>
</cp:coreProperties>
</file>