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EB1DD" w14:textId="7093F760" w:rsidR="00D46CC4" w:rsidRPr="00D46CC4" w:rsidRDefault="00D46CC4" w:rsidP="00DA1C03">
      <w:pPr>
        <w:pStyle w:val="berschrift1"/>
        <w:keepLines w:val="0"/>
        <w:spacing w:before="240" w:after="60"/>
        <w:rPr>
          <w:i/>
          <w:kern w:val="32"/>
          <w:sz w:val="24"/>
          <w:szCs w:val="24"/>
        </w:rPr>
      </w:pPr>
      <w:bookmarkStart w:id="0" w:name="_Hlk150180580"/>
      <w:bookmarkStart w:id="1" w:name="_Hlk77087400"/>
      <w:r w:rsidRPr="00D46CC4">
        <w:rPr>
          <w:i/>
          <w:kern w:val="32"/>
          <w:sz w:val="24"/>
          <w:szCs w:val="24"/>
        </w:rPr>
        <w:t>Die Bau EPD GmbH übernimmt folgenden Anhang aus den Ökobaudat-Grundsätzen in ihr Regelwerk:</w:t>
      </w:r>
    </w:p>
    <w:p w14:paraId="186C8319" w14:textId="4EAC2971" w:rsidR="00243994" w:rsidRPr="00243994" w:rsidRDefault="005A1ACA" w:rsidP="00DA1C03">
      <w:pPr>
        <w:pStyle w:val="berschrift1"/>
        <w:keepLines w:val="0"/>
        <w:spacing w:before="240" w:after="60"/>
      </w:pPr>
      <w:r>
        <w:rPr>
          <w:iCs w:val="0"/>
          <w:kern w:val="32"/>
          <w:sz w:val="32"/>
          <w:szCs w:val="32"/>
        </w:rPr>
        <w:t xml:space="preserve">Anhang B </w:t>
      </w:r>
      <w:r w:rsidR="004A4ECC">
        <w:rPr>
          <w:iCs w:val="0"/>
          <w:kern w:val="32"/>
          <w:sz w:val="32"/>
          <w:szCs w:val="32"/>
        </w:rPr>
        <w:t>Verrechnung von</w:t>
      </w:r>
      <w:r w:rsidR="00BC4A18" w:rsidRPr="005A1ACA">
        <w:rPr>
          <w:iCs w:val="0"/>
          <w:kern w:val="32"/>
          <w:sz w:val="32"/>
          <w:szCs w:val="32"/>
        </w:rPr>
        <w:t xml:space="preserve"> </w:t>
      </w:r>
      <w:r w:rsidR="00742E79" w:rsidRPr="005A1ACA">
        <w:rPr>
          <w:iCs w:val="0"/>
          <w:kern w:val="32"/>
          <w:sz w:val="32"/>
          <w:szCs w:val="32"/>
        </w:rPr>
        <w:t>Entsorgungs</w:t>
      </w:r>
      <w:r w:rsidR="00734A8C">
        <w:rPr>
          <w:iCs w:val="0"/>
          <w:kern w:val="32"/>
          <w:sz w:val="32"/>
          <w:szCs w:val="32"/>
        </w:rPr>
        <w:t>verfahren</w:t>
      </w:r>
      <w:r w:rsidR="00734A8C" w:rsidRPr="00734A8C">
        <w:t xml:space="preserve"> </w:t>
      </w:r>
      <w:bookmarkStart w:id="2" w:name="_Hlk150180607"/>
      <w:bookmarkEnd w:id="0"/>
      <w:r w:rsidR="00734A8C" w:rsidRPr="00734A8C">
        <w:rPr>
          <w:iCs w:val="0"/>
          <w:kern w:val="32"/>
          <w:sz w:val="32"/>
          <w:szCs w:val="32"/>
        </w:rPr>
        <w:t>für Produkte nach den Modulen C1 – C4 und D</w:t>
      </w:r>
      <w:bookmarkEnd w:id="1"/>
      <w:bookmarkEnd w:id="2"/>
      <w:r w:rsidR="00B00741">
        <w:rPr>
          <w:iCs w:val="0"/>
          <w:kern w:val="32"/>
          <w:sz w:val="32"/>
          <w:szCs w:val="32"/>
        </w:rPr>
        <w:br/>
      </w:r>
    </w:p>
    <w:p w14:paraId="20F996B9" w14:textId="77777777" w:rsidR="00C0178B" w:rsidRDefault="00C0178B" w:rsidP="00C0178B">
      <w:pPr>
        <w:pStyle w:val="berschrift2"/>
        <w:rPr>
          <w:w w:val="103"/>
        </w:rPr>
      </w:pPr>
      <w:r>
        <w:rPr>
          <w:w w:val="103"/>
        </w:rPr>
        <w:t>Abkürzungen</w:t>
      </w:r>
    </w:p>
    <w:p w14:paraId="5EAF1E17" w14:textId="344C55C3" w:rsidR="009B6707" w:rsidRDefault="009B6707" w:rsidP="009B6707">
      <w:pPr>
        <w:pStyle w:val="berschrift3"/>
      </w:pPr>
      <w:r>
        <w:t>Indikatoren</w:t>
      </w:r>
    </w:p>
    <w:p w14:paraId="2217F819" w14:textId="587A161C" w:rsidR="00C0178B" w:rsidRPr="00831340" w:rsidRDefault="00C0178B" w:rsidP="00C0178B">
      <w:pPr>
        <w:ind w:left="1276" w:hanging="1275"/>
      </w:pPr>
      <w:r w:rsidRPr="00831340">
        <w:t>C-Gehalt</w:t>
      </w:r>
      <w:r>
        <w:tab/>
      </w:r>
      <w:r w:rsidRPr="00795AC6">
        <w:t>während des Wachstums von Biomasse aus der Atmosphäre aufgenommene und über die Lebensdauer des Materials gebundene Menge an CO</w:t>
      </w:r>
      <w:r w:rsidRPr="00795AC6">
        <w:rPr>
          <w:vertAlign w:val="subscript"/>
        </w:rPr>
        <w:t>2</w:t>
      </w:r>
    </w:p>
    <w:p w14:paraId="0C95961A" w14:textId="77777777" w:rsidR="00C0178B" w:rsidRDefault="00C0178B" w:rsidP="00C0178B">
      <w:pPr>
        <w:ind w:left="1276" w:hanging="1275"/>
      </w:pPr>
      <w:r w:rsidRPr="00831340">
        <w:t xml:space="preserve">GWP </w:t>
      </w:r>
      <w:r>
        <w:tab/>
        <w:t>Globales Erwärmungspotenzial</w:t>
      </w:r>
    </w:p>
    <w:p w14:paraId="61AC0DB4" w14:textId="77777777" w:rsidR="00C0178B" w:rsidRPr="00831340" w:rsidRDefault="00C0178B" w:rsidP="00C0178B">
      <w:pPr>
        <w:ind w:left="1276" w:hanging="1275"/>
      </w:pPr>
      <w:r>
        <w:t>GWP biogen</w:t>
      </w:r>
      <w:r w:rsidRPr="00831340">
        <w:t xml:space="preserve"> </w:t>
      </w:r>
      <w:r>
        <w:tab/>
        <w:t>Globales Erwärmungspotenzial - biogen</w:t>
      </w:r>
    </w:p>
    <w:p w14:paraId="45E247ED" w14:textId="6C72DD82" w:rsidR="00764495" w:rsidRDefault="00764495" w:rsidP="00764495">
      <w:pPr>
        <w:ind w:left="1276" w:hanging="1275"/>
      </w:pPr>
      <w:r>
        <w:t xml:space="preserve">EEE </w:t>
      </w:r>
      <w:r>
        <w:tab/>
        <w:t>Exportierte elektrische Energie</w:t>
      </w:r>
    </w:p>
    <w:p w14:paraId="1CCC990A" w14:textId="76E0B64B" w:rsidR="00764495" w:rsidRDefault="00764495" w:rsidP="00764495">
      <w:pPr>
        <w:ind w:left="1276" w:hanging="1275"/>
      </w:pPr>
      <w:r>
        <w:t xml:space="preserve">EET </w:t>
      </w:r>
      <w:r>
        <w:tab/>
        <w:t>Exportierte thermische Energie</w:t>
      </w:r>
    </w:p>
    <w:p w14:paraId="3BB4B61E" w14:textId="38969262" w:rsidR="00764495" w:rsidRDefault="00764495" w:rsidP="00C0178B">
      <w:pPr>
        <w:ind w:left="1276" w:hanging="1275"/>
      </w:pPr>
      <w:r w:rsidRPr="00764495">
        <w:t>MER</w:t>
      </w:r>
      <w:r>
        <w:tab/>
      </w:r>
      <w:r w:rsidRPr="00764495">
        <w:t>Stoffe für die Energierückgewinnung</w:t>
      </w:r>
    </w:p>
    <w:p w14:paraId="05E3DD1A" w14:textId="47FC936B" w:rsidR="00764495" w:rsidRDefault="00764495" w:rsidP="00C0178B">
      <w:pPr>
        <w:ind w:left="1276" w:hanging="1275"/>
      </w:pPr>
      <w:r w:rsidRPr="00764495">
        <w:t>MFR</w:t>
      </w:r>
      <w:r>
        <w:tab/>
      </w:r>
      <w:r w:rsidRPr="00764495">
        <w:t>Stoffe zum Recycling</w:t>
      </w:r>
    </w:p>
    <w:p w14:paraId="20969D51" w14:textId="0C9D3416" w:rsidR="00C0178B" w:rsidRPr="00831340" w:rsidRDefault="00C0178B" w:rsidP="00C0178B">
      <w:pPr>
        <w:ind w:left="1276" w:hanging="1275"/>
      </w:pPr>
      <w:r w:rsidRPr="00831340">
        <w:t xml:space="preserve">PERE </w:t>
      </w:r>
      <w:r>
        <w:tab/>
        <w:t>Erneuerbare Primärenergie - als Energieträger</w:t>
      </w:r>
    </w:p>
    <w:p w14:paraId="4D1DE79E" w14:textId="77777777" w:rsidR="00C0178B" w:rsidRPr="00831340" w:rsidRDefault="00C0178B" w:rsidP="00C0178B">
      <w:pPr>
        <w:ind w:left="1276" w:hanging="1275"/>
      </w:pPr>
      <w:r w:rsidRPr="00831340">
        <w:t xml:space="preserve">PERM </w:t>
      </w:r>
      <w:r>
        <w:tab/>
        <w:t>Erneuerbare Primärenergie - als Rohstoff</w:t>
      </w:r>
    </w:p>
    <w:p w14:paraId="0F4B8546" w14:textId="6BAAE835" w:rsidR="00C0178B" w:rsidRPr="00831340" w:rsidRDefault="00C0178B" w:rsidP="00C0178B">
      <w:pPr>
        <w:ind w:left="1276" w:hanging="1275"/>
      </w:pPr>
      <w:r w:rsidRPr="00831340">
        <w:t xml:space="preserve">PERT </w:t>
      </w:r>
      <w:r>
        <w:tab/>
        <w:t>Erneuerbare Primärenergie – total (Summe aus PERE und PERM)</w:t>
      </w:r>
    </w:p>
    <w:p w14:paraId="5F447EFB" w14:textId="77777777" w:rsidR="00C0178B" w:rsidRPr="00831340" w:rsidRDefault="00C0178B" w:rsidP="00C0178B">
      <w:pPr>
        <w:ind w:left="1276" w:hanging="1275"/>
      </w:pPr>
      <w:r w:rsidRPr="00831340">
        <w:t xml:space="preserve">PENRE </w:t>
      </w:r>
      <w:r>
        <w:tab/>
        <w:t>Nicht erneuerbare Primärenergie - als Energieträger</w:t>
      </w:r>
    </w:p>
    <w:p w14:paraId="61C857FF" w14:textId="7248E1E0" w:rsidR="00C0178B" w:rsidRDefault="00C0178B" w:rsidP="00C0178B">
      <w:pPr>
        <w:ind w:left="1276" w:hanging="1275"/>
      </w:pPr>
      <w:r w:rsidRPr="00831340">
        <w:t xml:space="preserve">PENRM </w:t>
      </w:r>
      <w:r>
        <w:tab/>
        <w:t>Nicht erneuerbare Primärenergie - als Rohstoff</w:t>
      </w:r>
    </w:p>
    <w:p w14:paraId="710E3433" w14:textId="19F7AD6F" w:rsidR="000B6DEE" w:rsidRDefault="000B6DEE" w:rsidP="0028555D">
      <w:pPr>
        <w:tabs>
          <w:tab w:val="left" w:pos="1340"/>
        </w:tabs>
        <w:ind w:left="1276" w:hanging="1275"/>
      </w:pPr>
      <w:r>
        <w:t>PENRT</w:t>
      </w:r>
      <w:r>
        <w:tab/>
        <w:t xml:space="preserve">Nicht erneuerbare Primärenergie </w:t>
      </w:r>
      <w:r w:rsidR="00BF1328">
        <w:t>–</w:t>
      </w:r>
      <w:r>
        <w:t xml:space="preserve"> total</w:t>
      </w:r>
    </w:p>
    <w:p w14:paraId="4DC52BE1" w14:textId="77777777" w:rsidR="00243994" w:rsidRDefault="00243994" w:rsidP="0028555D">
      <w:pPr>
        <w:tabs>
          <w:tab w:val="left" w:pos="1340"/>
        </w:tabs>
        <w:ind w:left="1276" w:hanging="1275"/>
      </w:pPr>
    </w:p>
    <w:p w14:paraId="20A97828" w14:textId="62221F9A" w:rsidR="00BF1328" w:rsidRPr="009B6707" w:rsidRDefault="009B6707" w:rsidP="009B6707">
      <w:pPr>
        <w:pStyle w:val="berschrift3"/>
        <w:rPr>
          <w:lang w:val="de-AT"/>
        </w:rPr>
      </w:pPr>
      <w:r>
        <w:rPr>
          <w:lang w:val="de-AT"/>
        </w:rPr>
        <w:t>Prozesse</w:t>
      </w:r>
    </w:p>
    <w:p w14:paraId="4CFD96F7" w14:textId="7760A765" w:rsidR="009B6707" w:rsidRDefault="009B6707" w:rsidP="002F4CE1">
      <w:pPr>
        <w:ind w:left="2835" w:hanging="2835"/>
      </w:pPr>
      <w:r w:rsidRPr="00BF1328">
        <w:sym w:font="Wingdings" w:char="F0E0"/>
      </w:r>
      <w:r w:rsidRPr="009B6707">
        <w:t xml:space="preserve"> </w:t>
      </w:r>
      <w:r>
        <w:tab/>
        <w:t>Der Pfeil bedeutet, dass im jeweiligen Modul ein Umwandlungsprozess einer stoffinhärenten Eigenschaft stattfindet.</w:t>
      </w:r>
    </w:p>
    <w:p w14:paraId="4E477CC8" w14:textId="77777777" w:rsidR="002F4CE1" w:rsidRDefault="00BF1328" w:rsidP="002F4CE1">
      <w:pPr>
        <w:spacing w:before="240"/>
        <w:ind w:left="2835" w:hanging="2835"/>
        <w:rPr>
          <w:lang w:val="de-AT"/>
        </w:rPr>
      </w:pPr>
      <w:r w:rsidRPr="009B6707">
        <w:rPr>
          <w:lang w:val="de-AT"/>
        </w:rPr>
        <w:t xml:space="preserve">- PERM </w:t>
      </w:r>
      <w:r w:rsidRPr="00BF1328">
        <w:sym w:font="Wingdings" w:char="F0E0"/>
      </w:r>
      <w:r w:rsidRPr="009B6707">
        <w:rPr>
          <w:lang w:val="de-AT"/>
        </w:rPr>
        <w:t xml:space="preserve"> + PERE</w:t>
      </w:r>
      <w:r w:rsidR="009B6707">
        <w:rPr>
          <w:lang w:val="de-AT"/>
        </w:rPr>
        <w:tab/>
      </w:r>
      <w:r w:rsidR="009B6707" w:rsidRPr="009B6707">
        <w:rPr>
          <w:lang w:val="de-AT"/>
        </w:rPr>
        <w:t xml:space="preserve">Bei </w:t>
      </w:r>
      <w:r w:rsidR="009B6707">
        <w:rPr>
          <w:lang w:val="de-AT"/>
        </w:rPr>
        <w:t>der Verbrennung</w:t>
      </w:r>
      <w:r w:rsidR="009B6707" w:rsidRPr="009B6707">
        <w:rPr>
          <w:lang w:val="de-AT"/>
        </w:rPr>
        <w:t xml:space="preserve"> wird die rohstofflich genutzte Primärenergie (PERM, PENRM)</w:t>
      </w:r>
    </w:p>
    <w:p w14:paraId="240C0091" w14:textId="7F93B96B" w:rsidR="00BF1328" w:rsidRDefault="009B6707" w:rsidP="002F4CE1">
      <w:pPr>
        <w:ind w:left="2835" w:hanging="2835"/>
        <w:rPr>
          <w:lang w:val="de-AT"/>
        </w:rPr>
      </w:pPr>
      <w:r w:rsidRPr="009B6707">
        <w:rPr>
          <w:lang w:val="de-AT"/>
        </w:rPr>
        <w:t xml:space="preserve"> </w:t>
      </w:r>
      <w:r w:rsidR="002F4CE1" w:rsidRPr="009B6707">
        <w:rPr>
          <w:lang w:val="de-AT"/>
        </w:rPr>
        <w:t xml:space="preserve">- PENRM </w:t>
      </w:r>
      <w:r w:rsidR="002F4CE1" w:rsidRPr="00BF1328">
        <w:sym w:font="Wingdings" w:char="F0E0"/>
      </w:r>
      <w:r w:rsidR="002F4CE1" w:rsidRPr="009B6707">
        <w:rPr>
          <w:lang w:val="de-AT"/>
        </w:rPr>
        <w:t xml:space="preserve"> + PENRE </w:t>
      </w:r>
      <w:r w:rsidR="002F4CE1">
        <w:rPr>
          <w:lang w:val="de-AT"/>
        </w:rPr>
        <w:tab/>
      </w:r>
      <w:r w:rsidRPr="009B6707">
        <w:rPr>
          <w:lang w:val="de-AT"/>
        </w:rPr>
        <w:t>in energetisch genutzte Primärenergie (PERE, PENRE) umgewandelt. PERM, PENRM werden daher als negativer Wert ausgebucht und der gleiche Wert in PERE, PENRE als positiver Wert eingebucht.</w:t>
      </w:r>
    </w:p>
    <w:p w14:paraId="7A97A205" w14:textId="780BEF04" w:rsidR="009B6707" w:rsidRDefault="009B6707" w:rsidP="002F4CE1">
      <w:pPr>
        <w:tabs>
          <w:tab w:val="left" w:pos="1340"/>
        </w:tabs>
        <w:spacing w:before="240"/>
        <w:ind w:left="2835" w:hanging="2835"/>
      </w:pPr>
      <w:r w:rsidRPr="00BF1328">
        <w:t xml:space="preserve">+ GWP biogen </w:t>
      </w:r>
      <w:r>
        <w:t>(</w:t>
      </w:r>
      <w:r w:rsidRPr="00BF1328">
        <w:t xml:space="preserve">C-Gehalt </w:t>
      </w:r>
      <w:r w:rsidRPr="00BF1328">
        <w:sym w:font="Wingdings" w:char="F0E0"/>
      </w:r>
      <w:r w:rsidRPr="00BF1328">
        <w:t xml:space="preserve"> CO</w:t>
      </w:r>
      <w:r w:rsidRPr="009B6707">
        <w:rPr>
          <w:vertAlign w:val="subscript"/>
        </w:rPr>
        <w:t>2</w:t>
      </w:r>
      <w:r w:rsidRPr="00BF1328">
        <w:t>)</w:t>
      </w:r>
      <w:r w:rsidRPr="009B6707">
        <w:t xml:space="preserve"> </w:t>
      </w:r>
      <w:r>
        <w:tab/>
        <w:t>Der im Produkt gespeicherte Kohlenstoff („C-Gehalt“) wird bei Verbrennungs</w:t>
      </w:r>
      <w:r>
        <w:softHyphen/>
        <w:t>prozessen in CO</w:t>
      </w:r>
      <w:r w:rsidRPr="009B6707">
        <w:rPr>
          <w:vertAlign w:val="subscript"/>
        </w:rPr>
        <w:t>2</w:t>
      </w:r>
      <w:r>
        <w:t>-Emissionen umgewandelt, welche im GWP biogen als positiver Wert ausgedrückt werden.</w:t>
      </w:r>
    </w:p>
    <w:p w14:paraId="5273A102" w14:textId="1577BA26" w:rsidR="009B6707" w:rsidRPr="009B6707" w:rsidRDefault="009B6707" w:rsidP="002F4CE1">
      <w:pPr>
        <w:tabs>
          <w:tab w:val="left" w:pos="1340"/>
        </w:tabs>
        <w:spacing w:before="240"/>
        <w:ind w:left="2835" w:hanging="2835"/>
        <w:rPr>
          <w:lang w:val="de-AT"/>
        </w:rPr>
      </w:pPr>
      <w:r>
        <w:t>+ GWP biogen (- C-Gehalt)</w:t>
      </w:r>
      <w:r w:rsidRPr="009B6707">
        <w:t xml:space="preserve"> </w:t>
      </w:r>
      <w:r>
        <w:tab/>
        <w:t>Der im Produkt gebundene Kohlenstoff verlässt das Produkt ohne Umwandlung. Er wird im GWP biogen ausgebucht („-C-Gehalt (+ GWP biogen)“).</w:t>
      </w:r>
    </w:p>
    <w:p w14:paraId="415BFF45" w14:textId="77777777" w:rsidR="002F4CE1" w:rsidRPr="002A1355" w:rsidRDefault="002F4CE1" w:rsidP="002F4CE1">
      <w:pPr>
        <w:tabs>
          <w:tab w:val="left" w:pos="1340"/>
        </w:tabs>
        <w:spacing w:before="240"/>
        <w:ind w:left="2835" w:hanging="2835"/>
      </w:pPr>
      <w:r w:rsidRPr="002A1355">
        <w:t>- GWP biogen (+ C-Gehalt)</w:t>
      </w:r>
      <w:r>
        <w:tab/>
      </w:r>
      <w:r w:rsidRPr="00860F20">
        <w:t>Einträge von biogenem CO</w:t>
      </w:r>
      <w:r w:rsidRPr="00860F20">
        <w:rPr>
          <w:vertAlign w:val="subscript"/>
        </w:rPr>
        <w:t>2</w:t>
      </w:r>
      <w:r w:rsidRPr="00860F20">
        <w:t xml:space="preserve"> in das Produktsystem</w:t>
      </w:r>
      <w:r>
        <w:t xml:space="preserve"> („C-Gehalt“) werden als negativer Wert im GWPbiogen charakterisiert.</w:t>
      </w:r>
    </w:p>
    <w:p w14:paraId="015CC05A" w14:textId="77777777" w:rsidR="002F4CE1" w:rsidRPr="002A1355" w:rsidRDefault="002F4CE1" w:rsidP="002F4CE1">
      <w:pPr>
        <w:rPr>
          <w:lang w:val="de-AT"/>
        </w:rPr>
      </w:pPr>
    </w:p>
    <w:p w14:paraId="14A8CFB4" w14:textId="0FB91543" w:rsidR="009B6707" w:rsidRPr="002F4CE1" w:rsidRDefault="009B6707" w:rsidP="009B6707">
      <w:pPr>
        <w:tabs>
          <w:tab w:val="left" w:pos="1340"/>
        </w:tabs>
        <w:ind w:left="1276" w:hanging="1275"/>
        <w:rPr>
          <w:lang w:val="de-AT"/>
        </w:rPr>
      </w:pPr>
    </w:p>
    <w:p w14:paraId="27FE47FE" w14:textId="77777777" w:rsidR="009B6707" w:rsidRPr="00BF1328" w:rsidRDefault="009B6707" w:rsidP="00BF1328">
      <w:pPr>
        <w:tabs>
          <w:tab w:val="left" w:pos="1340"/>
        </w:tabs>
        <w:ind w:left="1276" w:hanging="1275"/>
      </w:pPr>
    </w:p>
    <w:p w14:paraId="2B280057" w14:textId="261B8F3E" w:rsidR="000E34CC" w:rsidRPr="005A1ACA" w:rsidRDefault="005A1ACA" w:rsidP="005A1ACA">
      <w:pPr>
        <w:pStyle w:val="berschrift2"/>
      </w:pPr>
      <w:r w:rsidRPr="005A1ACA">
        <w:t>B1</w:t>
      </w:r>
      <w:r w:rsidRPr="005A1ACA">
        <w:tab/>
      </w:r>
      <w:r w:rsidR="000E34CC" w:rsidRPr="005A1ACA">
        <w:t>Allgemeine</w:t>
      </w:r>
      <w:r w:rsidR="004210F5" w:rsidRPr="005A1ACA">
        <w:t xml:space="preserve"> Informationen </w:t>
      </w:r>
      <w:r w:rsidR="000E34CC" w:rsidRPr="005A1ACA">
        <w:t>zu spezifische</w:t>
      </w:r>
      <w:r w:rsidR="004210F5" w:rsidRPr="005A1ACA">
        <w:t>n</w:t>
      </w:r>
      <w:r w:rsidR="000E34CC" w:rsidRPr="005A1ACA">
        <w:t xml:space="preserve"> Werkstoffeigenschaften („</w:t>
      </w:r>
      <w:r w:rsidR="004210F5" w:rsidRPr="005A1ACA">
        <w:t>material</w:t>
      </w:r>
      <w:r w:rsidR="000E34CC" w:rsidRPr="005A1ACA">
        <w:t>inhärente Eigenschaften“)</w:t>
      </w:r>
    </w:p>
    <w:p w14:paraId="38A1D416" w14:textId="5FE2F09F" w:rsidR="000E34CC" w:rsidRPr="005A1ACA" w:rsidRDefault="005A1ACA" w:rsidP="005A1ACA">
      <w:pPr>
        <w:pStyle w:val="berschrift3"/>
      </w:pPr>
      <w:r>
        <w:t>B1.1</w:t>
      </w:r>
      <w:r>
        <w:tab/>
      </w:r>
      <w:r w:rsidR="007222B4" w:rsidRPr="005A1ACA">
        <w:t xml:space="preserve">Allgemeine Regel </w:t>
      </w:r>
      <w:r w:rsidR="000E34CC" w:rsidRPr="005A1ACA">
        <w:t>zu spezifischen Werkstoffeigenschaften</w:t>
      </w:r>
    </w:p>
    <w:p w14:paraId="3352241A" w14:textId="2B51AC68" w:rsidR="000E34CC" w:rsidRDefault="004F78E5" w:rsidP="005D330B">
      <w:pPr>
        <w:pStyle w:val="Regeln"/>
      </w:pPr>
      <w:r>
        <w:t>M</w:t>
      </w:r>
      <w:r w:rsidR="004210F5">
        <w:t>aterial</w:t>
      </w:r>
      <w:r w:rsidR="000E34CC">
        <w:t>inhärente Eigenschaften</w:t>
      </w:r>
      <w:r>
        <w:t xml:space="preserve"> von Stoffen wie beispielsweise der Heizwert oder die elementare Zusammensetzung</w:t>
      </w:r>
      <w:r w:rsidR="000E34CC">
        <w:t xml:space="preserve"> </w:t>
      </w:r>
      <w:r w:rsidR="004210F5">
        <w:t>(</w:t>
      </w:r>
      <w:r w:rsidR="000E34CC">
        <w:t xml:space="preserve">z.B. Kohlenstoffgehalt) müssen </w:t>
      </w:r>
      <w:r>
        <w:t xml:space="preserve">beim Überschreiten der Systemgrenze zwischen Produktsystemen </w:t>
      </w:r>
      <w:r w:rsidR="000E34CC">
        <w:t>immer entsprechend de</w:t>
      </w:r>
      <w:r w:rsidR="00D46CC4">
        <w:t>n</w:t>
      </w:r>
      <w:r w:rsidR="000E34CC">
        <w:t xml:space="preserve"> physikalischen Ströme</w:t>
      </w:r>
      <w:r w:rsidR="00D46CC4">
        <w:t>n</w:t>
      </w:r>
      <w:r w:rsidR="000E34CC">
        <w:t xml:space="preserve"> </w:t>
      </w:r>
      <w:r>
        <w:t xml:space="preserve">weitergegeben </w:t>
      </w:r>
      <w:r w:rsidR="000E34CC">
        <w:t>werden (</w:t>
      </w:r>
      <w:r w:rsidR="004210F5">
        <w:t xml:space="preserve">siehe </w:t>
      </w:r>
      <w:r w:rsidR="000E34CC">
        <w:t>EN</w:t>
      </w:r>
      <w:r w:rsidR="0028555D">
        <w:t> </w:t>
      </w:r>
      <w:r w:rsidR="000E34CC">
        <w:t xml:space="preserve">15804+A2, </w:t>
      </w:r>
      <w:r>
        <w:t>6.4.3.1 und 6.4.3.2</w:t>
      </w:r>
      <w:r w:rsidR="000E34CC">
        <w:t>).</w:t>
      </w:r>
    </w:p>
    <w:p w14:paraId="713FBBFB" w14:textId="55442AFB" w:rsidR="000E34CC" w:rsidRPr="00860F20" w:rsidRDefault="005A1ACA" w:rsidP="005A1ACA">
      <w:pPr>
        <w:pStyle w:val="berschrift3"/>
      </w:pPr>
      <w:r w:rsidRPr="00860F20">
        <w:t>B1.2</w:t>
      </w:r>
      <w:r w:rsidRPr="00860F20">
        <w:tab/>
      </w:r>
      <w:r w:rsidR="0028555D" w:rsidRPr="00860F20">
        <w:t xml:space="preserve">Biogener Kohlenstoffgehalt und </w:t>
      </w:r>
      <w:r w:rsidR="000B6DEE" w:rsidRPr="00860F20">
        <w:t xml:space="preserve">biogenes GWP </w:t>
      </w:r>
    </w:p>
    <w:p w14:paraId="351B716A" w14:textId="0EEEF218" w:rsidR="000E34CC" w:rsidRPr="00860F20" w:rsidRDefault="0028555D" w:rsidP="0028555D">
      <w:pPr>
        <w:pStyle w:val="Regeln"/>
        <w:ind w:left="1281" w:hanging="357"/>
      </w:pPr>
      <w:bookmarkStart w:id="3" w:name="_Hlk88658528"/>
      <w:r w:rsidRPr="00860F20">
        <w:t>Einträge von biogenem CO</w:t>
      </w:r>
      <w:r w:rsidRPr="00860F20">
        <w:rPr>
          <w:vertAlign w:val="subscript"/>
        </w:rPr>
        <w:t>2</w:t>
      </w:r>
      <w:r w:rsidRPr="00860F20">
        <w:t xml:space="preserve"> in das Produktsystem </w:t>
      </w:r>
      <w:bookmarkEnd w:id="3"/>
      <w:r w:rsidRPr="00860F20">
        <w:t xml:space="preserve">(aus der Luft oder aus einem voran gegangenen Produktsystem) werden als </w:t>
      </w:r>
      <w:r w:rsidRPr="00860F20">
        <w:rPr>
          <w:rFonts w:eastAsia="MS Mincho"/>
          <w:szCs w:val="24"/>
        </w:rPr>
        <w:t>LCIA als -1 kg CO</w:t>
      </w:r>
      <w:r w:rsidRPr="00860F20">
        <w:rPr>
          <w:rFonts w:eastAsia="MS Mincho"/>
          <w:position w:val="-6"/>
          <w:szCs w:val="24"/>
        </w:rPr>
        <w:t>2</w:t>
      </w:r>
      <w:r w:rsidRPr="00860F20">
        <w:rPr>
          <w:rFonts w:eastAsia="MS Mincho"/>
          <w:szCs w:val="24"/>
        </w:rPr>
        <w:t> eq./kg CO</w:t>
      </w:r>
      <w:r w:rsidRPr="00860F20">
        <w:rPr>
          <w:rFonts w:eastAsia="MS Mincho"/>
          <w:position w:val="-6"/>
          <w:szCs w:val="24"/>
        </w:rPr>
        <w:t>2</w:t>
      </w:r>
      <w:r w:rsidRPr="00860F20">
        <w:rPr>
          <w:rFonts w:eastAsia="MS Mincho"/>
          <w:szCs w:val="24"/>
        </w:rPr>
        <w:t xml:space="preserve"> charakterisiert.</w:t>
      </w:r>
      <w:r w:rsidRPr="00860F20">
        <w:t xml:space="preserve"> </w:t>
      </w:r>
      <w:r w:rsidR="000E34CC" w:rsidRPr="00860F20">
        <w:t>Emissionen von biogenem CO</w:t>
      </w:r>
      <w:r w:rsidR="000E34CC" w:rsidRPr="00860F20">
        <w:rPr>
          <w:vertAlign w:val="subscript"/>
        </w:rPr>
        <w:t>2</w:t>
      </w:r>
      <w:r w:rsidR="000E34CC" w:rsidRPr="00860F20">
        <w:t xml:space="preserve"> aus Biomasse und </w:t>
      </w:r>
      <w:r w:rsidR="008E65ED" w:rsidRPr="00860F20">
        <w:t xml:space="preserve">Austräge </w:t>
      </w:r>
      <w:r w:rsidR="000E34CC" w:rsidRPr="00860F20">
        <w:t xml:space="preserve">von Biomasse </w:t>
      </w:r>
      <w:r w:rsidR="002D473A" w:rsidRPr="00860F20">
        <w:t>aus dem</w:t>
      </w:r>
      <w:r w:rsidR="000E34CC" w:rsidRPr="00860F20">
        <w:t xml:space="preserve"> Produktsystem müssen als </w:t>
      </w:r>
      <w:r w:rsidR="004210F5" w:rsidRPr="00860F20">
        <w:t xml:space="preserve">positiver Wert, d.h. </w:t>
      </w:r>
      <w:r w:rsidR="000E34CC" w:rsidRPr="00860F20">
        <w:t>+1 kg CO</w:t>
      </w:r>
      <w:r w:rsidR="000E34CC" w:rsidRPr="00860F20">
        <w:rPr>
          <w:vertAlign w:val="subscript"/>
        </w:rPr>
        <w:t>2</w:t>
      </w:r>
      <w:r w:rsidR="000E34CC" w:rsidRPr="00860F20">
        <w:t>-Äq/kg CO</w:t>
      </w:r>
      <w:r w:rsidR="000E34CC" w:rsidRPr="00860F20">
        <w:rPr>
          <w:vertAlign w:val="subscript"/>
        </w:rPr>
        <w:t>2</w:t>
      </w:r>
      <w:r w:rsidR="000E34CC" w:rsidRPr="00860F20">
        <w:t xml:space="preserve"> des biogenen Kohlenstoffs charakterisiert werden (EN 15804+A2, </w:t>
      </w:r>
      <w:r w:rsidR="004210F5" w:rsidRPr="00860F20">
        <w:t xml:space="preserve">Anhang </w:t>
      </w:r>
      <w:r w:rsidR="000E34CC" w:rsidRPr="00860F20">
        <w:t>C2.4).</w:t>
      </w:r>
    </w:p>
    <w:p w14:paraId="78DAB244" w14:textId="045E50B0" w:rsidR="000E34CC" w:rsidRDefault="005A1ACA" w:rsidP="005A1ACA">
      <w:pPr>
        <w:pStyle w:val="berschrift3"/>
      </w:pPr>
      <w:r>
        <w:t>B1.3</w:t>
      </w:r>
      <w:r>
        <w:tab/>
      </w:r>
      <w:r w:rsidR="000E34CC">
        <w:t xml:space="preserve">Stoffgebundener Energieinhalt </w:t>
      </w:r>
      <w:r w:rsidR="000E34CC">
        <w:br/>
        <w:t>(Indikatoren PERM und PENRM</w:t>
      </w:r>
      <w:r w:rsidR="000E34CC" w:rsidRPr="009C224C">
        <w:t xml:space="preserve"> </w:t>
      </w:r>
      <w:r w:rsidR="000E34CC">
        <w:t>Einsatz der als Rohstoff verwendeten Primärenergieträger)</w:t>
      </w:r>
    </w:p>
    <w:p w14:paraId="7F2A59D5" w14:textId="15B86A0C" w:rsidR="005D330B" w:rsidRPr="005D330B" w:rsidRDefault="000E34CC" w:rsidP="005D330B">
      <w:pPr>
        <w:pStyle w:val="Regeln"/>
      </w:pPr>
      <w:r w:rsidRPr="005D330B">
        <w:t xml:space="preserve">Der stoffgebundene Energieinhalt wird </w:t>
      </w:r>
      <w:r w:rsidR="005D330B" w:rsidRPr="005D330B">
        <w:t>mit den</w:t>
      </w:r>
      <w:r w:rsidRPr="005D330B">
        <w:t xml:space="preserve"> Indikatoren PERM und PENRM (Einsatz der als Rohstoff verwendeten Primärenergieträger) bemessen. </w:t>
      </w:r>
      <w:r w:rsidR="000475B8">
        <w:t>Austräge</w:t>
      </w:r>
      <w:r w:rsidR="000475B8" w:rsidRPr="005D330B">
        <w:t xml:space="preserve"> </w:t>
      </w:r>
      <w:r w:rsidRPr="005D330B">
        <w:t xml:space="preserve">von stoffgebundenem Energieinhalt </w:t>
      </w:r>
      <w:r w:rsidR="000475B8">
        <w:t>aus dem</w:t>
      </w:r>
      <w:r w:rsidRPr="005D330B">
        <w:t xml:space="preserve"> Produktsystem müssen als negativer Wert des PERM (erneuerbare Energie) bzw. des PENRM (nicht erneuerbare Energie) charakterisiert werden.</w:t>
      </w:r>
    </w:p>
    <w:p w14:paraId="09F2F295" w14:textId="561BAF8B" w:rsidR="000E34CC" w:rsidRPr="005D330B" w:rsidRDefault="000E34CC" w:rsidP="005D330B">
      <w:pPr>
        <w:pStyle w:val="Regeln"/>
      </w:pPr>
      <w:r w:rsidRPr="005D330B">
        <w:t xml:space="preserve">Bei Verbrennungsprozessen wird der stoffgebundene Energieinhalt freigesetzt. PERM und PENRM werden dabei als negative Werte in MJ und dieselbe Menge als positive Werte in MJ für PERE und PENRE </w:t>
      </w:r>
      <w:r w:rsidR="00B57482" w:rsidRPr="005D330B">
        <w:t>ausgewiesen</w:t>
      </w:r>
      <w:r w:rsidRPr="005D330B">
        <w:t>.</w:t>
      </w:r>
    </w:p>
    <w:p w14:paraId="4850F3B4" w14:textId="08834BB1" w:rsidR="00BB15C7" w:rsidRPr="00BB15C7" w:rsidRDefault="005A1ACA" w:rsidP="005A1ACA">
      <w:pPr>
        <w:pStyle w:val="berschrift2"/>
      </w:pPr>
      <w:r>
        <w:rPr>
          <w:w w:val="103"/>
        </w:rPr>
        <w:t>B2</w:t>
      </w:r>
      <w:r>
        <w:rPr>
          <w:w w:val="103"/>
        </w:rPr>
        <w:tab/>
      </w:r>
      <w:bookmarkStart w:id="4" w:name="_Hlk101971337"/>
      <w:r w:rsidR="00BB15C7" w:rsidRPr="00BB15C7">
        <w:rPr>
          <w:w w:val="103"/>
        </w:rPr>
        <w:t>Thermische Entsorgung bzw. Verwertung</w:t>
      </w:r>
      <w:bookmarkEnd w:id="4"/>
    </w:p>
    <w:p w14:paraId="64A2155B" w14:textId="503255FD" w:rsidR="00214FB7" w:rsidRDefault="005A1ACA" w:rsidP="005A1ACA">
      <w:pPr>
        <w:pStyle w:val="berschrift3"/>
      </w:pPr>
      <w:r>
        <w:t>B2.1</w:t>
      </w:r>
      <w:r>
        <w:tab/>
      </w:r>
      <w:r w:rsidR="00F24EBE">
        <w:t>Verrechnung</w:t>
      </w:r>
      <w:r w:rsidR="00214FB7">
        <w:t xml:space="preserve"> </w:t>
      </w:r>
      <w:r w:rsidR="004A36FA">
        <w:t>gemäß EN 15804 in Verbindung mit EN 16485</w:t>
      </w:r>
    </w:p>
    <w:p w14:paraId="391A4383" w14:textId="3A49139C" w:rsidR="00742E79" w:rsidRDefault="00742E79" w:rsidP="005D330B">
      <w:pPr>
        <w:pStyle w:val="Regeln"/>
      </w:pPr>
      <w:r w:rsidRPr="00422ECC">
        <w:t xml:space="preserve">Für </w:t>
      </w:r>
      <w:r w:rsidR="00BB15C7">
        <w:t xml:space="preserve">die </w:t>
      </w:r>
      <w:r w:rsidR="00F24EBE">
        <w:t>Verrechnung</w:t>
      </w:r>
      <w:r w:rsidR="00BB15C7">
        <w:t xml:space="preserve"> der thermischen Entsorgung bzw. Verwertung von brennbaren Materialien </w:t>
      </w:r>
      <w:r w:rsidRPr="00422ECC">
        <w:t>wird empfohlen</w:t>
      </w:r>
      <w:r w:rsidR="00BB15C7">
        <w:t>,</w:t>
      </w:r>
      <w:r w:rsidRPr="00422ECC">
        <w:t xml:space="preserve"> die Festlegungen gemäß </w:t>
      </w:r>
      <w:r w:rsidR="00F520FC">
        <w:t xml:space="preserve">EN </w:t>
      </w:r>
      <w:r w:rsidRPr="00422ECC">
        <w:t xml:space="preserve">15804 in Verbindung mit </w:t>
      </w:r>
      <w:r w:rsidR="00F520FC">
        <w:t xml:space="preserve">EN </w:t>
      </w:r>
      <w:r w:rsidRPr="00422ECC">
        <w:t>16485, 6.2.4.5 Tabelle 1 zu berücksichtigen</w:t>
      </w:r>
      <w:r w:rsidR="004A36FA">
        <w:t xml:space="preserve"> (siehe </w:t>
      </w:r>
      <w:r w:rsidR="004A36FA" w:rsidRPr="00F24EBE">
        <w:fldChar w:fldCharType="begin"/>
      </w:r>
      <w:r w:rsidR="004A36FA" w:rsidRPr="00F24EBE">
        <w:instrText xml:space="preserve"> REF _Ref77095993 \h </w:instrText>
      </w:r>
      <w:r w:rsidR="00F24EBE" w:rsidRPr="00F24EBE">
        <w:instrText xml:space="preserve"> \* MERGEFORMAT </w:instrText>
      </w:r>
      <w:r w:rsidR="004A36FA" w:rsidRPr="00F24EBE">
        <w:fldChar w:fldCharType="separate"/>
      </w:r>
      <w:r w:rsidR="00223538" w:rsidRPr="00223538">
        <w:t xml:space="preserve">Tabelle </w:t>
      </w:r>
      <w:r w:rsidR="00223538" w:rsidRPr="00223538">
        <w:rPr>
          <w:noProof/>
        </w:rPr>
        <w:t>1</w:t>
      </w:r>
      <w:r w:rsidR="004A36FA" w:rsidRPr="00F24EBE">
        <w:fldChar w:fldCharType="end"/>
      </w:r>
      <w:r w:rsidR="004A36FA" w:rsidRPr="00F24EBE">
        <w:t>).</w:t>
      </w:r>
    </w:p>
    <w:p w14:paraId="4A20DA09" w14:textId="039BCE3C" w:rsidR="004A36FA" w:rsidRDefault="004A36FA" w:rsidP="002D7B8D">
      <w:pPr>
        <w:pStyle w:val="berschrift4"/>
        <w:ind w:left="579" w:firstLine="708"/>
      </w:pPr>
      <w:r w:rsidRPr="007222B4">
        <w:t>Erläuterung</w:t>
      </w:r>
      <w:r>
        <w:t>en zur Tabelle:</w:t>
      </w:r>
    </w:p>
    <w:p w14:paraId="69596CE6" w14:textId="54A397CD" w:rsidR="004A36FA" w:rsidRDefault="004A36FA" w:rsidP="002D7B8D">
      <w:pPr>
        <w:spacing w:before="120"/>
        <w:ind w:left="1287"/>
      </w:pPr>
      <w:r>
        <w:t xml:space="preserve">Kriterium 2: „Brennstoffe für die Energierückgewinnung werden auf der Basis der Effizienz der Energieerzeugung identifiziert, wobei eine Effizienzrate von mehr als 60 % unabhängig von bestehender Gesetzgebung den Grenzwert darstellt. </w:t>
      </w:r>
      <w:r w:rsidRPr="00CA22D3">
        <w:t>Materialien mit einer Effizienzrate</w:t>
      </w:r>
      <w:r>
        <w:t xml:space="preserve"> der Energierückgewinnung von unter 60 % werden nicht als Materialien zur Energierückgewinnung betrachtet.“ (EN 15804, 6.3.5.5).</w:t>
      </w:r>
    </w:p>
    <w:p w14:paraId="628A214F" w14:textId="34FFDEBC" w:rsidR="00E406D1" w:rsidRDefault="00E406D1" w:rsidP="00E406D1">
      <w:pPr>
        <w:spacing w:before="120"/>
        <w:ind w:left="1287"/>
      </w:pPr>
      <w:r w:rsidRPr="00E406D1">
        <w:t xml:space="preserve">Hinweis: Kriterium 2 der EN 15804 enthält einen inhaltlichen Widerspruch. Im ersten Satz wird die Effizienz der (zukünftigen, dem gewählten Szenario entsprechenden, aber zum Zeitpunkt der EPD-Erstellung eigentlich unbekannten) Energieerzeugungsanlage als Kriterium herangezogen, im zweiten </w:t>
      </w:r>
      <w:r w:rsidRPr="00E406D1">
        <w:lastRenderedPageBreak/>
        <w:t>Satz wird von „Materialien mit einer Effizienzrate …“ gesprochen. Aus der Logik der Umwelt</w:t>
      </w:r>
      <w:r w:rsidRPr="00E406D1">
        <w:rPr>
          <w:u w:val="single"/>
        </w:rPr>
        <w:t>produkt</w:t>
      </w:r>
      <w:r w:rsidRPr="00E406D1">
        <w:rPr>
          <w:u w:val="single"/>
        </w:rPr>
        <w:softHyphen/>
      </w:r>
      <w:r w:rsidRPr="00E406D1">
        <w:t>deklaration sollten die tatsächlichen Materialeigenschaften wie Heizwert, Schüttdichte und Schadstoff</w:t>
      </w:r>
      <w:r w:rsidRPr="00E406D1">
        <w:softHyphen/>
        <w:t>freiheit die Grundlage für die Einstufung in Energierückgewinnung oder thermische Behandlung ausschlaggebend sein (siehe auch Kriteriensteckbrief BNB 4.1.4 Rückbau, Trennung und Verwertung)</w:t>
      </w:r>
    </w:p>
    <w:p w14:paraId="26B3A765" w14:textId="77777777" w:rsidR="004A36FA" w:rsidRDefault="004A36FA" w:rsidP="002D7B8D">
      <w:pPr>
        <w:spacing w:before="120"/>
        <w:ind w:left="1287"/>
      </w:pPr>
      <w:r>
        <w:t>Beim Entsorgungsverfahren</w:t>
      </w:r>
      <w:r w:rsidRPr="004F4946">
        <w:t xml:space="preserve"> „Thermische Abfallbehandlung“ erreicht der Abfallfluss den Status „Ende der Abfalleigenschaften“ nicht vor der Verbrennung und die Anlage hat einen R1-Wert </w:t>
      </w:r>
      <w:r>
        <w:t>≤</w:t>
      </w:r>
      <w:r w:rsidRPr="004F4946">
        <w:t xml:space="preserve"> 0,6. Die Umweltwirkung der Abfallaufbereitung und der Verbrennungsprozesse werden als Beseit</w:t>
      </w:r>
      <w:r>
        <w:t>igungsprozess in C4 deklariert.</w:t>
      </w:r>
    </w:p>
    <w:p w14:paraId="5529A07C" w14:textId="77777777" w:rsidR="004A36FA" w:rsidRDefault="004A36FA" w:rsidP="002D7B8D">
      <w:pPr>
        <w:spacing w:before="120"/>
        <w:ind w:left="1287"/>
      </w:pPr>
      <w:r w:rsidRPr="004F4946">
        <w:t xml:space="preserve">Bei der Anwendung des Szenarios „Energierückgewinnung“ erreicht der Abfallfluss den Status „Ende der Abfalleigenschaften“ nicht vor der Verbrennung, aber die Anlage hat einen R1-Wert </w:t>
      </w:r>
      <w:r>
        <w:t>&gt;</w:t>
      </w:r>
      <w:r w:rsidRPr="004F4946">
        <w:t xml:space="preserve"> 0,6. Die Umweltwirkung der Abfallaufbereitung und der Verbrennungsprozess</w:t>
      </w:r>
      <w:r>
        <w:t>e</w:t>
      </w:r>
      <w:r w:rsidRPr="004F4946">
        <w:t xml:space="preserve"> werden in C3 deklariert.</w:t>
      </w:r>
    </w:p>
    <w:p w14:paraId="38FEAA3C" w14:textId="77777777" w:rsidR="004A36FA" w:rsidRDefault="004A36FA" w:rsidP="002D7B8D">
      <w:pPr>
        <w:spacing w:before="120"/>
        <w:ind w:left="1287"/>
      </w:pPr>
      <w:r w:rsidRPr="00BB15C7">
        <w:t>Bei der Anwendung des Szenarios „Verwendung als Sekundärbrennstoff“ erreicht der Abfallfluss den Status „Ende der Abfalleigenschaften“ vor der Verbrennung bzw. energetischen Nutzung. Damit wird der Materialfluss an der Systemgrenze als Sekundärbrennstoff qualifiziert und das Kriterium des R1-Wertes ist nicht anwendbar</w:t>
      </w:r>
      <w:r>
        <w:t>.</w:t>
      </w:r>
      <w:r w:rsidRPr="00BB15C7">
        <w:t xml:space="preserve"> </w:t>
      </w:r>
      <w:r>
        <w:t>D</w:t>
      </w:r>
      <w:r w:rsidRPr="00BB15C7">
        <w:t>ie Umweltwirkungen der Abfallaufbereitung zum Sekundärbrennstoff werden in C3 bilanziert</w:t>
      </w:r>
      <w:r>
        <w:t>, d</w:t>
      </w:r>
      <w:r w:rsidRPr="004F4946">
        <w:t>ie Umweltwirkung de</w:t>
      </w:r>
      <w:r>
        <w:t>r</w:t>
      </w:r>
      <w:r w:rsidRPr="004F4946">
        <w:t xml:space="preserve"> Verbrennungsprozess</w:t>
      </w:r>
      <w:r>
        <w:t>e</w:t>
      </w:r>
      <w:r w:rsidRPr="004F4946">
        <w:t xml:space="preserve"> in </w:t>
      </w:r>
      <w:r>
        <w:t>D</w:t>
      </w:r>
      <w:r w:rsidRPr="004F4946">
        <w:t>.</w:t>
      </w:r>
    </w:p>
    <w:p w14:paraId="7626D0B0" w14:textId="77777777" w:rsidR="004A36FA" w:rsidRDefault="004A36FA" w:rsidP="004A36FA"/>
    <w:p w14:paraId="6FF8E70D" w14:textId="7809B68A" w:rsidR="004A36FA" w:rsidRPr="004A36FA" w:rsidRDefault="004A36FA" w:rsidP="004A36FA">
      <w:pPr>
        <w:pStyle w:val="Regeln"/>
        <w:keepNext/>
        <w:numPr>
          <w:ilvl w:val="0"/>
          <w:numId w:val="0"/>
        </w:numPr>
        <w:spacing w:after="80"/>
        <w:ind w:left="851"/>
        <w:rPr>
          <w:i/>
        </w:rPr>
      </w:pPr>
      <w:bookmarkStart w:id="5" w:name="_Ref77095993"/>
      <w:r w:rsidRPr="004A36FA">
        <w:rPr>
          <w:b/>
        </w:rPr>
        <w:t xml:space="preserve">Tabelle </w:t>
      </w:r>
      <w:r w:rsidRPr="004A36FA">
        <w:rPr>
          <w:b/>
        </w:rPr>
        <w:fldChar w:fldCharType="begin"/>
      </w:r>
      <w:r w:rsidRPr="004A36FA">
        <w:rPr>
          <w:b/>
        </w:rPr>
        <w:instrText xml:space="preserve"> SEQ Tabelle \* ARABIC </w:instrText>
      </w:r>
      <w:r w:rsidRPr="004A36FA">
        <w:rPr>
          <w:b/>
        </w:rPr>
        <w:fldChar w:fldCharType="separate"/>
      </w:r>
      <w:r w:rsidR="00223538">
        <w:rPr>
          <w:b/>
          <w:noProof/>
        </w:rPr>
        <w:t>1</w:t>
      </w:r>
      <w:r w:rsidRPr="004A36FA">
        <w:rPr>
          <w:b/>
        </w:rPr>
        <w:fldChar w:fldCharType="end"/>
      </w:r>
      <w:bookmarkEnd w:id="5"/>
      <w:r w:rsidRPr="004A36FA">
        <w:rPr>
          <w:b/>
        </w:rPr>
        <w:t>:</w:t>
      </w:r>
      <w:r>
        <w:rPr>
          <w:i/>
        </w:rPr>
        <w:t xml:space="preserve"> </w:t>
      </w:r>
      <w:r w:rsidRPr="004A36FA">
        <w:t>Verrechnung von</w:t>
      </w:r>
      <w:r w:rsidR="002D7B8D">
        <w:t xml:space="preserve"> Verfahren der</w:t>
      </w:r>
      <w:r w:rsidRPr="004A36FA">
        <w:t xml:space="preserve"> </w:t>
      </w:r>
      <w:r w:rsidR="002D7B8D">
        <w:t>thermischen Verwertung bzw. Entsorgung</w:t>
      </w:r>
      <w:r w:rsidRPr="004A36FA">
        <w:t xml:space="preserve"> nach den Modulen C1 – C4 und D in Abhängigkeit davon, ob ein Fluss als Abfall betrachtet wird und vom R1-Wert der Verbrennungsanlage (sofern zutreffend)</w:t>
      </w:r>
      <w:r>
        <w:t xml:space="preserve">. Quelle: EN </w:t>
      </w:r>
      <w:r w:rsidRPr="00422ECC">
        <w:t>16485, 6.2.4.5 Tabelle 1</w:t>
      </w:r>
    </w:p>
    <w:tbl>
      <w:tblPr>
        <w:tblStyle w:val="Tabellenraster"/>
        <w:tblW w:w="8787" w:type="dxa"/>
        <w:tblInd w:w="846" w:type="dxa"/>
        <w:tblLayout w:type="fixed"/>
        <w:tblLook w:val="04A0" w:firstRow="1" w:lastRow="0" w:firstColumn="1" w:lastColumn="0" w:noHBand="0" w:noVBand="1"/>
      </w:tblPr>
      <w:tblGrid>
        <w:gridCol w:w="1134"/>
        <w:gridCol w:w="2551"/>
        <w:gridCol w:w="2551"/>
        <w:gridCol w:w="2551"/>
      </w:tblGrid>
      <w:tr w:rsidR="00742E79" w:rsidRPr="004A36FA" w14:paraId="195F7DB6" w14:textId="77777777" w:rsidTr="001D072C">
        <w:tc>
          <w:tcPr>
            <w:tcW w:w="1134" w:type="dxa"/>
            <w:vAlign w:val="center"/>
          </w:tcPr>
          <w:p w14:paraId="3F9CD14E" w14:textId="1F779044" w:rsidR="00742E79" w:rsidRPr="00402BA5" w:rsidRDefault="00402BA5" w:rsidP="001D072C">
            <w:pPr>
              <w:keepNext/>
              <w:spacing w:before="20" w:after="20"/>
              <w:jc w:val="center"/>
              <w:rPr>
                <w:b/>
                <w:sz w:val="20"/>
                <w:szCs w:val="20"/>
              </w:rPr>
            </w:pPr>
            <w:r w:rsidRPr="00402BA5">
              <w:rPr>
                <w:b/>
                <w:sz w:val="20"/>
                <w:szCs w:val="20"/>
              </w:rPr>
              <w:t>Kriterien</w:t>
            </w:r>
          </w:p>
        </w:tc>
        <w:tc>
          <w:tcPr>
            <w:tcW w:w="2551" w:type="dxa"/>
            <w:vAlign w:val="center"/>
          </w:tcPr>
          <w:p w14:paraId="7E167992" w14:textId="77777777" w:rsidR="00742E79" w:rsidRPr="004A36FA" w:rsidRDefault="00742E79" w:rsidP="001D072C">
            <w:pPr>
              <w:keepNext/>
              <w:spacing w:before="20" w:after="20"/>
              <w:jc w:val="center"/>
              <w:rPr>
                <w:b/>
                <w:sz w:val="20"/>
                <w:szCs w:val="20"/>
              </w:rPr>
            </w:pPr>
            <w:r w:rsidRPr="004A36FA">
              <w:rPr>
                <w:b/>
                <w:sz w:val="20"/>
                <w:szCs w:val="20"/>
              </w:rPr>
              <w:t>Thermische Abfallbehandlung</w:t>
            </w:r>
          </w:p>
        </w:tc>
        <w:tc>
          <w:tcPr>
            <w:tcW w:w="2551" w:type="dxa"/>
            <w:vAlign w:val="center"/>
          </w:tcPr>
          <w:p w14:paraId="3F42C6E2" w14:textId="633FCC97" w:rsidR="00742E79" w:rsidRPr="004A36FA" w:rsidRDefault="00742E79" w:rsidP="001D072C">
            <w:pPr>
              <w:keepNext/>
              <w:spacing w:before="20" w:after="20"/>
              <w:jc w:val="center"/>
              <w:rPr>
                <w:b/>
                <w:sz w:val="20"/>
                <w:szCs w:val="20"/>
              </w:rPr>
            </w:pPr>
            <w:r w:rsidRPr="004A36FA">
              <w:rPr>
                <w:b/>
                <w:sz w:val="20"/>
                <w:szCs w:val="20"/>
              </w:rPr>
              <w:t>Energierückgewinnung</w:t>
            </w:r>
          </w:p>
        </w:tc>
        <w:tc>
          <w:tcPr>
            <w:tcW w:w="2551" w:type="dxa"/>
            <w:vAlign w:val="center"/>
          </w:tcPr>
          <w:p w14:paraId="7FD494DA" w14:textId="77777777" w:rsidR="00742E79" w:rsidRPr="004A36FA" w:rsidRDefault="00742E79" w:rsidP="001D072C">
            <w:pPr>
              <w:keepNext/>
              <w:spacing w:before="20" w:after="20"/>
              <w:jc w:val="center"/>
              <w:rPr>
                <w:b/>
                <w:sz w:val="20"/>
                <w:szCs w:val="20"/>
              </w:rPr>
            </w:pPr>
            <w:r w:rsidRPr="004A36FA">
              <w:rPr>
                <w:b/>
                <w:sz w:val="20"/>
                <w:szCs w:val="20"/>
              </w:rPr>
              <w:t>Verwendung als Sekundärbrennstoff</w:t>
            </w:r>
          </w:p>
        </w:tc>
      </w:tr>
      <w:tr w:rsidR="00742E79" w:rsidRPr="004A36FA" w14:paraId="7BF36C15" w14:textId="77777777" w:rsidTr="001D072C">
        <w:tc>
          <w:tcPr>
            <w:tcW w:w="1134" w:type="dxa"/>
            <w:vAlign w:val="center"/>
          </w:tcPr>
          <w:p w14:paraId="7F66752C" w14:textId="77777777" w:rsidR="00742E79" w:rsidRPr="004A36FA" w:rsidRDefault="00742E79" w:rsidP="001D072C">
            <w:pPr>
              <w:keepNext/>
              <w:spacing w:before="20" w:after="20"/>
              <w:jc w:val="center"/>
              <w:rPr>
                <w:sz w:val="20"/>
                <w:szCs w:val="20"/>
              </w:rPr>
            </w:pPr>
            <w:r w:rsidRPr="004A36FA">
              <w:rPr>
                <w:sz w:val="20"/>
                <w:szCs w:val="20"/>
              </w:rPr>
              <w:t>Kriterium 1</w:t>
            </w:r>
          </w:p>
        </w:tc>
        <w:tc>
          <w:tcPr>
            <w:tcW w:w="2551" w:type="dxa"/>
            <w:vAlign w:val="center"/>
          </w:tcPr>
          <w:p w14:paraId="18AA12D2" w14:textId="7CDDF638" w:rsidR="00742E79" w:rsidRPr="004A36FA" w:rsidRDefault="00742E79" w:rsidP="001D072C">
            <w:pPr>
              <w:keepNext/>
              <w:spacing w:before="20" w:after="20"/>
              <w:rPr>
                <w:sz w:val="20"/>
                <w:szCs w:val="20"/>
              </w:rPr>
            </w:pPr>
            <w:r w:rsidRPr="004A36FA">
              <w:rPr>
                <w:sz w:val="20"/>
                <w:szCs w:val="20"/>
              </w:rPr>
              <w:t>Fluss wird als Abfall betrachtet</w:t>
            </w:r>
            <w:r w:rsidR="00A56CE9">
              <w:rPr>
                <w:sz w:val="20"/>
                <w:szCs w:val="20"/>
              </w:rPr>
              <w:t xml:space="preserve"> (Fluss erreicht den Abfallende-Status nicht)</w:t>
            </w:r>
          </w:p>
        </w:tc>
        <w:tc>
          <w:tcPr>
            <w:tcW w:w="2551" w:type="dxa"/>
            <w:vAlign w:val="center"/>
          </w:tcPr>
          <w:p w14:paraId="4FA0C340" w14:textId="64DF5DD8" w:rsidR="00742E79" w:rsidRPr="004A36FA" w:rsidRDefault="00742E79" w:rsidP="001D072C">
            <w:pPr>
              <w:keepNext/>
              <w:spacing w:before="20" w:after="20"/>
              <w:rPr>
                <w:sz w:val="20"/>
                <w:szCs w:val="20"/>
              </w:rPr>
            </w:pPr>
            <w:r w:rsidRPr="004A36FA">
              <w:rPr>
                <w:sz w:val="20"/>
                <w:szCs w:val="20"/>
              </w:rPr>
              <w:t>Fluss wird als Abfall betrachtet</w:t>
            </w:r>
            <w:r w:rsidR="00A56CE9">
              <w:rPr>
                <w:sz w:val="20"/>
                <w:szCs w:val="20"/>
              </w:rPr>
              <w:t xml:space="preserve"> (Fluss erreicht den Abfallende-Status nicht)</w:t>
            </w:r>
          </w:p>
        </w:tc>
        <w:tc>
          <w:tcPr>
            <w:tcW w:w="2551" w:type="dxa"/>
            <w:vAlign w:val="center"/>
          </w:tcPr>
          <w:p w14:paraId="656F5A98" w14:textId="2D2B83EA" w:rsidR="00742E79" w:rsidRPr="004A36FA" w:rsidRDefault="00742E79" w:rsidP="001D072C">
            <w:pPr>
              <w:keepNext/>
              <w:spacing w:before="20" w:after="20"/>
              <w:rPr>
                <w:sz w:val="20"/>
                <w:szCs w:val="20"/>
              </w:rPr>
            </w:pPr>
            <w:r w:rsidRPr="004A36FA">
              <w:rPr>
                <w:sz w:val="20"/>
                <w:szCs w:val="20"/>
              </w:rPr>
              <w:t>Fluss wird nicht als Abfall betrachtet</w:t>
            </w:r>
            <w:r w:rsidR="00A56CE9">
              <w:rPr>
                <w:sz w:val="20"/>
                <w:szCs w:val="20"/>
              </w:rPr>
              <w:t xml:space="preserve"> (Fluss erreicht den Abfallende-Status)</w:t>
            </w:r>
          </w:p>
        </w:tc>
      </w:tr>
      <w:tr w:rsidR="00742E79" w:rsidRPr="004A36FA" w14:paraId="0741E863" w14:textId="77777777" w:rsidTr="001D072C">
        <w:tc>
          <w:tcPr>
            <w:tcW w:w="1134" w:type="dxa"/>
            <w:vAlign w:val="center"/>
          </w:tcPr>
          <w:p w14:paraId="44864CED" w14:textId="77777777" w:rsidR="00742E79" w:rsidRPr="004A36FA" w:rsidRDefault="00742E79" w:rsidP="001D072C">
            <w:pPr>
              <w:keepNext/>
              <w:spacing w:before="20" w:after="20"/>
              <w:jc w:val="center"/>
              <w:rPr>
                <w:sz w:val="20"/>
                <w:szCs w:val="20"/>
              </w:rPr>
            </w:pPr>
            <w:r w:rsidRPr="004A36FA">
              <w:rPr>
                <w:sz w:val="20"/>
                <w:szCs w:val="20"/>
              </w:rPr>
              <w:t>Kriterium 2</w:t>
            </w:r>
          </w:p>
        </w:tc>
        <w:tc>
          <w:tcPr>
            <w:tcW w:w="2551" w:type="dxa"/>
            <w:vAlign w:val="center"/>
          </w:tcPr>
          <w:p w14:paraId="6F41FE21" w14:textId="40E6D615" w:rsidR="00742E79" w:rsidRPr="004A36FA" w:rsidRDefault="00742E79" w:rsidP="001D072C">
            <w:pPr>
              <w:keepNext/>
              <w:spacing w:before="20" w:after="20"/>
              <w:rPr>
                <w:sz w:val="20"/>
                <w:szCs w:val="20"/>
              </w:rPr>
            </w:pPr>
            <w:r w:rsidRPr="004A36FA">
              <w:rPr>
                <w:sz w:val="20"/>
                <w:szCs w:val="20"/>
              </w:rPr>
              <w:t xml:space="preserve">R1-Wert der Verbrennungsanlage </w:t>
            </w:r>
            <w:r w:rsidR="008C4AF3" w:rsidRPr="004A36FA">
              <w:rPr>
                <w:sz w:val="20"/>
                <w:szCs w:val="20"/>
              </w:rPr>
              <w:t>≤</w:t>
            </w:r>
            <w:r w:rsidRPr="004A36FA">
              <w:rPr>
                <w:sz w:val="20"/>
                <w:szCs w:val="20"/>
              </w:rPr>
              <w:t xml:space="preserve"> 0,6</w:t>
            </w:r>
          </w:p>
        </w:tc>
        <w:tc>
          <w:tcPr>
            <w:tcW w:w="2551" w:type="dxa"/>
            <w:vAlign w:val="center"/>
          </w:tcPr>
          <w:p w14:paraId="51BF369E" w14:textId="72AFA869" w:rsidR="00742E79" w:rsidRPr="004A36FA" w:rsidRDefault="00742E79" w:rsidP="001D072C">
            <w:pPr>
              <w:keepNext/>
              <w:spacing w:before="20" w:after="20"/>
              <w:rPr>
                <w:sz w:val="20"/>
                <w:szCs w:val="20"/>
              </w:rPr>
            </w:pPr>
            <w:r w:rsidRPr="004A36FA">
              <w:rPr>
                <w:sz w:val="20"/>
                <w:szCs w:val="20"/>
              </w:rPr>
              <w:t xml:space="preserve">R1-Wert der Verbrennungsanlage </w:t>
            </w:r>
            <w:r w:rsidR="008C4AF3" w:rsidRPr="004A36FA">
              <w:rPr>
                <w:sz w:val="20"/>
                <w:szCs w:val="20"/>
              </w:rPr>
              <w:t>&gt;</w:t>
            </w:r>
            <w:r w:rsidRPr="004A36FA">
              <w:rPr>
                <w:sz w:val="20"/>
                <w:szCs w:val="20"/>
              </w:rPr>
              <w:t xml:space="preserve"> 0,6</w:t>
            </w:r>
          </w:p>
        </w:tc>
        <w:tc>
          <w:tcPr>
            <w:tcW w:w="2551" w:type="dxa"/>
            <w:vAlign w:val="center"/>
          </w:tcPr>
          <w:p w14:paraId="2F9F2457" w14:textId="32017BDA" w:rsidR="00742E79" w:rsidRPr="004A36FA" w:rsidRDefault="00742E79" w:rsidP="001D072C">
            <w:pPr>
              <w:keepNext/>
              <w:spacing w:before="20" w:after="20"/>
              <w:rPr>
                <w:sz w:val="20"/>
                <w:szCs w:val="20"/>
              </w:rPr>
            </w:pPr>
            <w:r w:rsidRPr="004A36FA">
              <w:rPr>
                <w:sz w:val="20"/>
                <w:szCs w:val="20"/>
              </w:rPr>
              <w:t>Nicht</w:t>
            </w:r>
            <w:r w:rsidR="00DA5A11">
              <w:rPr>
                <w:sz w:val="20"/>
                <w:szCs w:val="20"/>
              </w:rPr>
              <w:t xml:space="preserve"> </w:t>
            </w:r>
            <w:r w:rsidRPr="004A36FA">
              <w:rPr>
                <w:sz w:val="20"/>
                <w:szCs w:val="20"/>
              </w:rPr>
              <w:t>zutreffend</w:t>
            </w:r>
          </w:p>
        </w:tc>
      </w:tr>
      <w:tr w:rsidR="00402BA5" w:rsidRPr="004A36FA" w14:paraId="5E1675F3" w14:textId="77777777" w:rsidTr="001722D0">
        <w:tc>
          <w:tcPr>
            <w:tcW w:w="1134" w:type="dxa"/>
            <w:vAlign w:val="center"/>
          </w:tcPr>
          <w:p w14:paraId="6FDAAA91" w14:textId="19CCA8FE" w:rsidR="00402BA5" w:rsidRPr="00402BA5" w:rsidRDefault="00402BA5" w:rsidP="00402BA5">
            <w:pPr>
              <w:keepNext/>
              <w:spacing w:before="40" w:after="40"/>
              <w:jc w:val="center"/>
              <w:rPr>
                <w:b/>
                <w:sz w:val="20"/>
                <w:szCs w:val="20"/>
              </w:rPr>
            </w:pPr>
            <w:r w:rsidRPr="00402BA5">
              <w:rPr>
                <w:b/>
                <w:sz w:val="20"/>
                <w:szCs w:val="20"/>
              </w:rPr>
              <w:t>Modul</w:t>
            </w:r>
          </w:p>
        </w:tc>
        <w:tc>
          <w:tcPr>
            <w:tcW w:w="7653" w:type="dxa"/>
            <w:gridSpan w:val="3"/>
            <w:vAlign w:val="center"/>
          </w:tcPr>
          <w:p w14:paraId="5C91BD42" w14:textId="2DD1AEC6" w:rsidR="00402BA5" w:rsidRPr="004A36FA" w:rsidRDefault="00402BA5" w:rsidP="00402BA5">
            <w:pPr>
              <w:keepNext/>
              <w:spacing w:before="40" w:after="40"/>
              <w:jc w:val="center"/>
              <w:rPr>
                <w:sz w:val="20"/>
                <w:szCs w:val="20"/>
              </w:rPr>
            </w:pPr>
            <w:r w:rsidRPr="004A36FA">
              <w:rPr>
                <w:b/>
                <w:sz w:val="20"/>
                <w:szCs w:val="20"/>
              </w:rPr>
              <w:t>Die sich ergebende Verrechnung von Prozessen zu Informationsmodulen</w:t>
            </w:r>
          </w:p>
        </w:tc>
      </w:tr>
      <w:tr w:rsidR="00742E79" w:rsidRPr="004A36FA" w14:paraId="5CB3326A" w14:textId="77777777" w:rsidTr="001D072C">
        <w:tc>
          <w:tcPr>
            <w:tcW w:w="1134" w:type="dxa"/>
            <w:vAlign w:val="center"/>
          </w:tcPr>
          <w:p w14:paraId="37D32812" w14:textId="77777777" w:rsidR="00742E79" w:rsidRPr="004A36FA" w:rsidRDefault="00742E79" w:rsidP="001D072C">
            <w:pPr>
              <w:keepNext/>
              <w:spacing w:before="20" w:after="20"/>
              <w:jc w:val="center"/>
              <w:rPr>
                <w:sz w:val="20"/>
                <w:szCs w:val="20"/>
              </w:rPr>
            </w:pPr>
            <w:r w:rsidRPr="004A36FA">
              <w:rPr>
                <w:sz w:val="20"/>
                <w:szCs w:val="20"/>
              </w:rPr>
              <w:t>C1</w:t>
            </w:r>
          </w:p>
        </w:tc>
        <w:tc>
          <w:tcPr>
            <w:tcW w:w="2551" w:type="dxa"/>
            <w:vAlign w:val="center"/>
          </w:tcPr>
          <w:p w14:paraId="3AB517AD" w14:textId="77777777" w:rsidR="00742E79" w:rsidRPr="004A36FA" w:rsidRDefault="00742E79" w:rsidP="001D072C">
            <w:pPr>
              <w:keepNext/>
              <w:spacing w:before="20" w:after="20"/>
              <w:rPr>
                <w:sz w:val="20"/>
                <w:szCs w:val="20"/>
              </w:rPr>
            </w:pPr>
            <w:r w:rsidRPr="004A36FA">
              <w:rPr>
                <w:sz w:val="20"/>
                <w:szCs w:val="20"/>
              </w:rPr>
              <w:t>Demontage / Abbruch</w:t>
            </w:r>
          </w:p>
        </w:tc>
        <w:tc>
          <w:tcPr>
            <w:tcW w:w="2551" w:type="dxa"/>
            <w:vAlign w:val="center"/>
          </w:tcPr>
          <w:p w14:paraId="505A1938" w14:textId="77777777" w:rsidR="00742E79" w:rsidRPr="004A36FA" w:rsidRDefault="00742E79" w:rsidP="001D072C">
            <w:pPr>
              <w:keepNext/>
              <w:spacing w:before="20" w:after="20"/>
              <w:rPr>
                <w:sz w:val="20"/>
                <w:szCs w:val="20"/>
              </w:rPr>
            </w:pPr>
            <w:r w:rsidRPr="004A36FA">
              <w:rPr>
                <w:sz w:val="20"/>
                <w:szCs w:val="20"/>
              </w:rPr>
              <w:t>Demontage / Abbruch</w:t>
            </w:r>
          </w:p>
        </w:tc>
        <w:tc>
          <w:tcPr>
            <w:tcW w:w="2551" w:type="dxa"/>
            <w:vAlign w:val="center"/>
          </w:tcPr>
          <w:p w14:paraId="2B865D3A" w14:textId="77777777" w:rsidR="00742E79" w:rsidRPr="004A36FA" w:rsidRDefault="00742E79" w:rsidP="001D072C">
            <w:pPr>
              <w:keepNext/>
              <w:spacing w:before="20" w:after="20"/>
              <w:rPr>
                <w:sz w:val="20"/>
                <w:szCs w:val="20"/>
              </w:rPr>
            </w:pPr>
            <w:r w:rsidRPr="004A36FA">
              <w:rPr>
                <w:sz w:val="20"/>
                <w:szCs w:val="20"/>
              </w:rPr>
              <w:t>Demontage / Abbruch</w:t>
            </w:r>
          </w:p>
        </w:tc>
      </w:tr>
      <w:tr w:rsidR="00742E79" w:rsidRPr="004A36FA" w14:paraId="27CEEC89" w14:textId="77777777" w:rsidTr="001D072C">
        <w:tc>
          <w:tcPr>
            <w:tcW w:w="1134" w:type="dxa"/>
            <w:vAlign w:val="center"/>
          </w:tcPr>
          <w:p w14:paraId="61A1FD20" w14:textId="77777777" w:rsidR="00742E79" w:rsidRPr="004A36FA" w:rsidRDefault="00742E79" w:rsidP="001D072C">
            <w:pPr>
              <w:keepNext/>
              <w:spacing w:before="20" w:after="20"/>
              <w:jc w:val="center"/>
              <w:rPr>
                <w:sz w:val="20"/>
                <w:szCs w:val="20"/>
              </w:rPr>
            </w:pPr>
            <w:r w:rsidRPr="004A36FA">
              <w:rPr>
                <w:sz w:val="20"/>
                <w:szCs w:val="20"/>
              </w:rPr>
              <w:t>C2</w:t>
            </w:r>
          </w:p>
        </w:tc>
        <w:tc>
          <w:tcPr>
            <w:tcW w:w="2551" w:type="dxa"/>
            <w:vAlign w:val="center"/>
          </w:tcPr>
          <w:p w14:paraId="1E788EB1" w14:textId="77777777" w:rsidR="00742E79" w:rsidRPr="004A36FA" w:rsidRDefault="00742E79" w:rsidP="001D072C">
            <w:pPr>
              <w:keepNext/>
              <w:spacing w:before="20" w:after="20"/>
              <w:rPr>
                <w:sz w:val="20"/>
                <w:szCs w:val="20"/>
              </w:rPr>
            </w:pPr>
            <w:r w:rsidRPr="004A36FA">
              <w:rPr>
                <w:sz w:val="20"/>
                <w:szCs w:val="20"/>
              </w:rPr>
              <w:t>Transport zur Verbrennungsanlage</w:t>
            </w:r>
          </w:p>
        </w:tc>
        <w:tc>
          <w:tcPr>
            <w:tcW w:w="2551" w:type="dxa"/>
            <w:vAlign w:val="center"/>
          </w:tcPr>
          <w:p w14:paraId="1206DC84" w14:textId="77777777" w:rsidR="00742E79" w:rsidRPr="004A36FA" w:rsidRDefault="00742E79" w:rsidP="001D072C">
            <w:pPr>
              <w:keepNext/>
              <w:spacing w:before="20" w:after="20"/>
              <w:rPr>
                <w:sz w:val="20"/>
                <w:szCs w:val="20"/>
              </w:rPr>
            </w:pPr>
            <w:r w:rsidRPr="004A36FA">
              <w:rPr>
                <w:sz w:val="20"/>
                <w:szCs w:val="20"/>
              </w:rPr>
              <w:t>Transport zur Verbrennungsanlage</w:t>
            </w:r>
          </w:p>
        </w:tc>
        <w:tc>
          <w:tcPr>
            <w:tcW w:w="2551" w:type="dxa"/>
            <w:vAlign w:val="center"/>
          </w:tcPr>
          <w:p w14:paraId="2C4680FB" w14:textId="77777777" w:rsidR="00742E79" w:rsidRPr="004A36FA" w:rsidRDefault="00742E79" w:rsidP="001D072C">
            <w:pPr>
              <w:keepNext/>
              <w:spacing w:before="20" w:after="20"/>
              <w:rPr>
                <w:sz w:val="20"/>
                <w:szCs w:val="20"/>
              </w:rPr>
            </w:pPr>
            <w:r w:rsidRPr="004A36FA">
              <w:rPr>
                <w:sz w:val="20"/>
                <w:szCs w:val="20"/>
              </w:rPr>
              <w:t>Transport zur Sortieranlage</w:t>
            </w:r>
          </w:p>
        </w:tc>
      </w:tr>
      <w:tr w:rsidR="00742E79" w:rsidRPr="004A36FA" w14:paraId="09868220" w14:textId="77777777" w:rsidTr="001D072C">
        <w:tc>
          <w:tcPr>
            <w:tcW w:w="1134" w:type="dxa"/>
            <w:vAlign w:val="center"/>
          </w:tcPr>
          <w:p w14:paraId="485504F5" w14:textId="77777777" w:rsidR="00742E79" w:rsidRPr="004A36FA" w:rsidRDefault="00742E79" w:rsidP="001D072C">
            <w:pPr>
              <w:keepNext/>
              <w:spacing w:before="20" w:after="20"/>
              <w:jc w:val="center"/>
              <w:rPr>
                <w:sz w:val="20"/>
                <w:szCs w:val="20"/>
              </w:rPr>
            </w:pPr>
            <w:r w:rsidRPr="004A36FA">
              <w:rPr>
                <w:sz w:val="20"/>
                <w:szCs w:val="20"/>
              </w:rPr>
              <w:t>C3</w:t>
            </w:r>
          </w:p>
        </w:tc>
        <w:tc>
          <w:tcPr>
            <w:tcW w:w="2551" w:type="dxa"/>
            <w:shd w:val="clear" w:color="auto" w:fill="DBE5F1" w:themeFill="accent1" w:themeFillTint="33"/>
            <w:vAlign w:val="center"/>
          </w:tcPr>
          <w:p w14:paraId="00AC05E5" w14:textId="77777777" w:rsidR="00742E79" w:rsidRPr="004A36FA" w:rsidRDefault="00742E79" w:rsidP="001D072C">
            <w:pPr>
              <w:keepNext/>
              <w:spacing w:before="20" w:after="20"/>
              <w:rPr>
                <w:sz w:val="20"/>
                <w:szCs w:val="20"/>
              </w:rPr>
            </w:pPr>
          </w:p>
        </w:tc>
        <w:tc>
          <w:tcPr>
            <w:tcW w:w="2551" w:type="dxa"/>
            <w:vAlign w:val="center"/>
          </w:tcPr>
          <w:p w14:paraId="626AE254" w14:textId="77777777" w:rsidR="00742E79" w:rsidRPr="004A36FA" w:rsidRDefault="00742E79" w:rsidP="001D072C">
            <w:pPr>
              <w:keepNext/>
              <w:spacing w:before="20" w:after="20"/>
              <w:rPr>
                <w:sz w:val="20"/>
                <w:szCs w:val="20"/>
              </w:rPr>
            </w:pPr>
            <w:r w:rsidRPr="004A36FA">
              <w:rPr>
                <w:sz w:val="20"/>
                <w:szCs w:val="20"/>
              </w:rPr>
              <w:t>Aufbereitung und Verbrennung</w:t>
            </w:r>
          </w:p>
        </w:tc>
        <w:tc>
          <w:tcPr>
            <w:tcW w:w="2551" w:type="dxa"/>
            <w:vAlign w:val="center"/>
          </w:tcPr>
          <w:p w14:paraId="39799CF0" w14:textId="77777777" w:rsidR="00742E79" w:rsidRPr="004A36FA" w:rsidRDefault="00742E79" w:rsidP="001D072C">
            <w:pPr>
              <w:keepNext/>
              <w:spacing w:before="20" w:after="20"/>
              <w:rPr>
                <w:sz w:val="20"/>
                <w:szCs w:val="20"/>
              </w:rPr>
            </w:pPr>
            <w:r w:rsidRPr="004A36FA">
              <w:rPr>
                <w:sz w:val="20"/>
                <w:szCs w:val="20"/>
              </w:rPr>
              <w:t>Sortierung und Aufbereitung</w:t>
            </w:r>
          </w:p>
        </w:tc>
      </w:tr>
      <w:tr w:rsidR="00742E79" w:rsidRPr="004A36FA" w14:paraId="6F9A9E1F" w14:textId="77777777" w:rsidTr="001D072C">
        <w:tc>
          <w:tcPr>
            <w:tcW w:w="1134" w:type="dxa"/>
            <w:vAlign w:val="center"/>
          </w:tcPr>
          <w:p w14:paraId="083ABE6D" w14:textId="77777777" w:rsidR="00742E79" w:rsidRPr="004A36FA" w:rsidRDefault="00742E79" w:rsidP="001D072C">
            <w:pPr>
              <w:keepNext/>
              <w:spacing w:before="20" w:after="20"/>
              <w:jc w:val="center"/>
              <w:rPr>
                <w:sz w:val="20"/>
                <w:szCs w:val="20"/>
              </w:rPr>
            </w:pPr>
            <w:r w:rsidRPr="004A36FA">
              <w:rPr>
                <w:sz w:val="20"/>
                <w:szCs w:val="20"/>
              </w:rPr>
              <w:t>C4</w:t>
            </w:r>
          </w:p>
        </w:tc>
        <w:tc>
          <w:tcPr>
            <w:tcW w:w="2551" w:type="dxa"/>
            <w:vAlign w:val="center"/>
          </w:tcPr>
          <w:p w14:paraId="50A802EF" w14:textId="77777777" w:rsidR="00742E79" w:rsidRPr="004A36FA" w:rsidRDefault="00742E79" w:rsidP="001D072C">
            <w:pPr>
              <w:keepNext/>
              <w:spacing w:before="20" w:after="20"/>
              <w:rPr>
                <w:sz w:val="20"/>
                <w:szCs w:val="20"/>
              </w:rPr>
            </w:pPr>
            <w:r w:rsidRPr="004A36FA">
              <w:rPr>
                <w:sz w:val="20"/>
                <w:szCs w:val="20"/>
              </w:rPr>
              <w:t>Aufbereitung und Verbrennung</w:t>
            </w:r>
          </w:p>
        </w:tc>
        <w:tc>
          <w:tcPr>
            <w:tcW w:w="2551" w:type="dxa"/>
            <w:shd w:val="clear" w:color="auto" w:fill="DBE5F1" w:themeFill="accent1" w:themeFillTint="33"/>
            <w:vAlign w:val="center"/>
          </w:tcPr>
          <w:p w14:paraId="58857286" w14:textId="77777777" w:rsidR="00742E79" w:rsidRPr="004A36FA" w:rsidRDefault="00742E79" w:rsidP="001D072C">
            <w:pPr>
              <w:keepNext/>
              <w:spacing w:before="20" w:after="20"/>
              <w:rPr>
                <w:sz w:val="20"/>
                <w:szCs w:val="20"/>
              </w:rPr>
            </w:pPr>
          </w:p>
        </w:tc>
        <w:tc>
          <w:tcPr>
            <w:tcW w:w="2551" w:type="dxa"/>
            <w:shd w:val="clear" w:color="auto" w:fill="DBE5F1" w:themeFill="accent1" w:themeFillTint="33"/>
            <w:vAlign w:val="center"/>
          </w:tcPr>
          <w:p w14:paraId="12876782" w14:textId="77777777" w:rsidR="00742E79" w:rsidRPr="004A36FA" w:rsidRDefault="00742E79" w:rsidP="001D072C">
            <w:pPr>
              <w:keepNext/>
              <w:spacing w:before="20" w:after="20"/>
              <w:rPr>
                <w:sz w:val="20"/>
                <w:szCs w:val="20"/>
              </w:rPr>
            </w:pPr>
          </w:p>
        </w:tc>
      </w:tr>
      <w:tr w:rsidR="00742E79" w:rsidRPr="004A36FA" w14:paraId="17922C55" w14:textId="77777777" w:rsidTr="001D072C">
        <w:tc>
          <w:tcPr>
            <w:tcW w:w="1134" w:type="dxa"/>
            <w:vAlign w:val="center"/>
          </w:tcPr>
          <w:p w14:paraId="19B0F86F" w14:textId="77777777" w:rsidR="00742E79" w:rsidRPr="004A36FA" w:rsidRDefault="00742E79" w:rsidP="001D072C">
            <w:pPr>
              <w:keepNext/>
              <w:spacing w:before="20" w:after="20"/>
              <w:jc w:val="center"/>
              <w:rPr>
                <w:sz w:val="20"/>
                <w:szCs w:val="20"/>
              </w:rPr>
            </w:pPr>
            <w:r w:rsidRPr="004A36FA">
              <w:rPr>
                <w:sz w:val="20"/>
                <w:szCs w:val="20"/>
              </w:rPr>
              <w:t>D</w:t>
            </w:r>
          </w:p>
        </w:tc>
        <w:tc>
          <w:tcPr>
            <w:tcW w:w="2551" w:type="dxa"/>
            <w:vAlign w:val="center"/>
          </w:tcPr>
          <w:p w14:paraId="353786D4" w14:textId="49EFACE4" w:rsidR="00742E79" w:rsidRPr="004A36FA" w:rsidRDefault="00742E79" w:rsidP="001D072C">
            <w:pPr>
              <w:keepNext/>
              <w:spacing w:before="20" w:after="20"/>
              <w:rPr>
                <w:sz w:val="20"/>
                <w:szCs w:val="20"/>
              </w:rPr>
            </w:pPr>
            <w:r w:rsidRPr="004A36FA">
              <w:rPr>
                <w:sz w:val="20"/>
                <w:szCs w:val="20"/>
              </w:rPr>
              <w:t>Vermiedene Auswirkungen durch Stromerzeugung und Wärme/ Energierückgewinnung</w:t>
            </w:r>
          </w:p>
        </w:tc>
        <w:tc>
          <w:tcPr>
            <w:tcW w:w="2551" w:type="dxa"/>
            <w:vAlign w:val="center"/>
          </w:tcPr>
          <w:p w14:paraId="2E3C37F3" w14:textId="49C348DF" w:rsidR="00742E79" w:rsidRPr="004A36FA" w:rsidRDefault="00742E79" w:rsidP="001D072C">
            <w:pPr>
              <w:keepNext/>
              <w:spacing w:before="20" w:after="20"/>
              <w:rPr>
                <w:sz w:val="20"/>
                <w:szCs w:val="20"/>
              </w:rPr>
            </w:pPr>
            <w:r w:rsidRPr="004A36FA">
              <w:rPr>
                <w:sz w:val="20"/>
                <w:szCs w:val="20"/>
              </w:rPr>
              <w:t>Vermiedene Auswirkungen durch Stromerzeugung und Wärme/ Energierückgewinnung</w:t>
            </w:r>
          </w:p>
        </w:tc>
        <w:tc>
          <w:tcPr>
            <w:tcW w:w="2551" w:type="dxa"/>
            <w:vAlign w:val="center"/>
          </w:tcPr>
          <w:p w14:paraId="573B4350" w14:textId="6B61539A" w:rsidR="00742E79" w:rsidRPr="004A36FA" w:rsidRDefault="00742E79" w:rsidP="001D072C">
            <w:pPr>
              <w:keepNext/>
              <w:spacing w:before="20" w:after="20"/>
              <w:rPr>
                <w:sz w:val="20"/>
                <w:szCs w:val="20"/>
              </w:rPr>
            </w:pPr>
            <w:r w:rsidRPr="004A36FA">
              <w:rPr>
                <w:sz w:val="20"/>
                <w:szCs w:val="20"/>
              </w:rPr>
              <w:t>Verbrennung und Vermiedene Auswirkungen durch Stromerzeugung und Wärme / Energie-rückgewinnung</w:t>
            </w:r>
          </w:p>
        </w:tc>
      </w:tr>
    </w:tbl>
    <w:p w14:paraId="13CEC906" w14:textId="77777777" w:rsidR="00F24EBE" w:rsidRDefault="00F24EBE" w:rsidP="00F24EBE"/>
    <w:p w14:paraId="00FADA9B" w14:textId="3619B8AE" w:rsidR="007F1127" w:rsidRDefault="004A36FA" w:rsidP="004A36FA">
      <w:pPr>
        <w:pStyle w:val="berschrift3"/>
      </w:pPr>
      <w:r>
        <w:t>B2.2</w:t>
      </w:r>
      <w:r>
        <w:tab/>
      </w:r>
      <w:r w:rsidR="007F1127">
        <w:t>Deklaration der Umweltinformationen zur Beschreibung der Outputflüsse</w:t>
      </w:r>
    </w:p>
    <w:p w14:paraId="70736070" w14:textId="49F5D9E7" w:rsidR="001D072C" w:rsidRDefault="007F1127" w:rsidP="001D072C">
      <w:pPr>
        <w:pStyle w:val="Regeln"/>
      </w:pPr>
      <w:r>
        <w:t xml:space="preserve">Entsprechend der Modellierung der Entsorgungsverfahren sind die Umweltinformationen zur Beschreibung der Outputflüsse wie </w:t>
      </w:r>
      <w:r w:rsidR="007D55C7">
        <w:t xml:space="preserve">in </w:t>
      </w:r>
      <w:r w:rsidR="001D072C" w:rsidRPr="00F24EBE">
        <w:fldChar w:fldCharType="begin"/>
      </w:r>
      <w:r w:rsidR="001D072C" w:rsidRPr="00F24EBE">
        <w:instrText xml:space="preserve"> REF _Ref77096434 \h </w:instrText>
      </w:r>
      <w:r w:rsidR="00F24EBE" w:rsidRPr="00F24EBE">
        <w:instrText xml:space="preserve"> \* MERGEFORMAT </w:instrText>
      </w:r>
      <w:r w:rsidR="001D072C" w:rsidRPr="00F24EBE">
        <w:fldChar w:fldCharType="separate"/>
      </w:r>
      <w:r w:rsidR="00223538" w:rsidRPr="00223538">
        <w:t xml:space="preserve">Tabelle </w:t>
      </w:r>
      <w:r w:rsidR="00223538" w:rsidRPr="00223538">
        <w:rPr>
          <w:noProof/>
        </w:rPr>
        <w:t>2</w:t>
      </w:r>
      <w:r w:rsidR="001D072C" w:rsidRPr="00F24EBE">
        <w:fldChar w:fldCharType="end"/>
      </w:r>
      <w:r w:rsidR="001D072C" w:rsidRPr="00F24EBE">
        <w:t xml:space="preserve"> </w:t>
      </w:r>
      <w:r w:rsidR="007D55C7">
        <w:t>dargestellt</w:t>
      </w:r>
      <w:r>
        <w:t xml:space="preserve"> zu deklarieren</w:t>
      </w:r>
      <w:r w:rsidR="007D55C7">
        <w:t>.</w:t>
      </w:r>
    </w:p>
    <w:p w14:paraId="434069B1" w14:textId="4F88A0EA" w:rsidR="007D55C7" w:rsidRPr="007D55C7" w:rsidRDefault="007D55C7" w:rsidP="001D072C">
      <w:pPr>
        <w:pStyle w:val="Regeln"/>
        <w:numPr>
          <w:ilvl w:val="0"/>
          <w:numId w:val="0"/>
        </w:numPr>
        <w:ind w:left="851"/>
        <w:rPr>
          <w:i/>
        </w:rPr>
      </w:pPr>
      <w:bookmarkStart w:id="6" w:name="_Ref77096434"/>
      <w:r w:rsidRPr="004A36FA">
        <w:rPr>
          <w:b/>
        </w:rPr>
        <w:t xml:space="preserve">Tabelle </w:t>
      </w:r>
      <w:r w:rsidRPr="004A36FA">
        <w:rPr>
          <w:b/>
        </w:rPr>
        <w:fldChar w:fldCharType="begin"/>
      </w:r>
      <w:r w:rsidRPr="004A36FA">
        <w:rPr>
          <w:b/>
        </w:rPr>
        <w:instrText xml:space="preserve"> SEQ Tabelle \* ARABIC </w:instrText>
      </w:r>
      <w:r w:rsidRPr="004A36FA">
        <w:rPr>
          <w:b/>
        </w:rPr>
        <w:fldChar w:fldCharType="separate"/>
      </w:r>
      <w:r w:rsidR="00223538">
        <w:rPr>
          <w:b/>
          <w:noProof/>
        </w:rPr>
        <w:t>2</w:t>
      </w:r>
      <w:r w:rsidRPr="004A36FA">
        <w:rPr>
          <w:b/>
        </w:rPr>
        <w:fldChar w:fldCharType="end"/>
      </w:r>
      <w:bookmarkEnd w:id="6"/>
      <w:r w:rsidRPr="004A36FA">
        <w:rPr>
          <w:b/>
        </w:rPr>
        <w:t>:</w:t>
      </w:r>
      <w:r>
        <w:rPr>
          <w:i/>
        </w:rPr>
        <w:t xml:space="preserve"> </w:t>
      </w:r>
      <w:r>
        <w:t>Deklaration der Umweltinformation zu Beschreibung der Outputflüsse. Alle Indikatorwerte haben positive Vorzeichen.</w:t>
      </w:r>
    </w:p>
    <w:tbl>
      <w:tblPr>
        <w:tblStyle w:val="Tabellenraster"/>
        <w:tblW w:w="8787" w:type="dxa"/>
        <w:tblInd w:w="846" w:type="dxa"/>
        <w:tblLayout w:type="fixed"/>
        <w:tblLook w:val="04A0" w:firstRow="1" w:lastRow="0" w:firstColumn="1" w:lastColumn="0" w:noHBand="0" w:noVBand="1"/>
      </w:tblPr>
      <w:tblGrid>
        <w:gridCol w:w="1134"/>
        <w:gridCol w:w="2551"/>
        <w:gridCol w:w="2551"/>
        <w:gridCol w:w="2551"/>
      </w:tblGrid>
      <w:tr w:rsidR="00402BA5" w:rsidRPr="004A36FA" w14:paraId="0B509026" w14:textId="77777777" w:rsidTr="004F0068">
        <w:tc>
          <w:tcPr>
            <w:tcW w:w="1134" w:type="dxa"/>
            <w:vAlign w:val="center"/>
          </w:tcPr>
          <w:p w14:paraId="69953BF8" w14:textId="61B8AC74" w:rsidR="00402BA5" w:rsidRPr="004A36FA" w:rsidRDefault="00402BA5" w:rsidP="00402BA5">
            <w:pPr>
              <w:spacing w:beforeLines="20" w:before="48" w:afterLines="20" w:after="48"/>
              <w:contextualSpacing/>
              <w:jc w:val="center"/>
              <w:rPr>
                <w:sz w:val="20"/>
                <w:szCs w:val="20"/>
              </w:rPr>
            </w:pPr>
            <w:r w:rsidRPr="00402BA5">
              <w:rPr>
                <w:b/>
                <w:sz w:val="20"/>
              </w:rPr>
              <w:t>Modul</w:t>
            </w:r>
          </w:p>
        </w:tc>
        <w:tc>
          <w:tcPr>
            <w:tcW w:w="2551" w:type="dxa"/>
            <w:vAlign w:val="center"/>
          </w:tcPr>
          <w:p w14:paraId="1D2A7931" w14:textId="77777777" w:rsidR="00402BA5" w:rsidRPr="004A36FA" w:rsidRDefault="00402BA5" w:rsidP="00402BA5">
            <w:pPr>
              <w:spacing w:beforeLines="20" w:before="48" w:afterLines="20" w:after="48"/>
              <w:contextualSpacing/>
              <w:jc w:val="center"/>
              <w:rPr>
                <w:b/>
                <w:sz w:val="20"/>
                <w:szCs w:val="20"/>
              </w:rPr>
            </w:pPr>
            <w:r w:rsidRPr="004A36FA">
              <w:rPr>
                <w:b/>
                <w:sz w:val="20"/>
                <w:szCs w:val="20"/>
              </w:rPr>
              <w:t>Thermische Abfallbehandlung</w:t>
            </w:r>
          </w:p>
        </w:tc>
        <w:tc>
          <w:tcPr>
            <w:tcW w:w="2551" w:type="dxa"/>
            <w:vAlign w:val="center"/>
          </w:tcPr>
          <w:p w14:paraId="017811BD" w14:textId="14B00CC6" w:rsidR="00402BA5" w:rsidRPr="004A36FA" w:rsidRDefault="00402BA5" w:rsidP="00402BA5">
            <w:pPr>
              <w:spacing w:beforeLines="20" w:before="48" w:afterLines="20" w:after="48"/>
              <w:contextualSpacing/>
              <w:jc w:val="center"/>
              <w:rPr>
                <w:b/>
                <w:sz w:val="20"/>
                <w:szCs w:val="20"/>
              </w:rPr>
            </w:pPr>
            <w:r w:rsidRPr="004A36FA">
              <w:rPr>
                <w:b/>
                <w:sz w:val="20"/>
                <w:szCs w:val="20"/>
              </w:rPr>
              <w:t>Energierückgewinnung</w:t>
            </w:r>
          </w:p>
        </w:tc>
        <w:tc>
          <w:tcPr>
            <w:tcW w:w="2551" w:type="dxa"/>
            <w:vAlign w:val="center"/>
          </w:tcPr>
          <w:p w14:paraId="764D3754" w14:textId="77777777" w:rsidR="00402BA5" w:rsidRPr="004A36FA" w:rsidRDefault="00402BA5" w:rsidP="00402BA5">
            <w:pPr>
              <w:spacing w:beforeLines="20" w:before="48" w:afterLines="20" w:after="48"/>
              <w:contextualSpacing/>
              <w:jc w:val="center"/>
              <w:rPr>
                <w:b/>
                <w:sz w:val="20"/>
                <w:szCs w:val="20"/>
              </w:rPr>
            </w:pPr>
            <w:r w:rsidRPr="004A36FA">
              <w:rPr>
                <w:b/>
                <w:sz w:val="20"/>
                <w:szCs w:val="20"/>
              </w:rPr>
              <w:t>Verwendung als Sekundärbrennstoff</w:t>
            </w:r>
          </w:p>
        </w:tc>
      </w:tr>
      <w:tr w:rsidR="00402BA5" w:rsidRPr="004A36FA" w14:paraId="74C5A973" w14:textId="77777777" w:rsidTr="004F0068">
        <w:tc>
          <w:tcPr>
            <w:tcW w:w="1134" w:type="dxa"/>
          </w:tcPr>
          <w:p w14:paraId="2CB6BFC6" w14:textId="77777777" w:rsidR="00402BA5" w:rsidRPr="004A36FA" w:rsidRDefault="00402BA5" w:rsidP="00402BA5">
            <w:pPr>
              <w:spacing w:beforeLines="20" w:before="48" w:afterLines="20" w:after="48"/>
              <w:contextualSpacing/>
              <w:jc w:val="center"/>
              <w:rPr>
                <w:sz w:val="20"/>
                <w:szCs w:val="20"/>
              </w:rPr>
            </w:pPr>
            <w:r w:rsidRPr="004A36FA">
              <w:rPr>
                <w:sz w:val="20"/>
                <w:szCs w:val="20"/>
              </w:rPr>
              <w:lastRenderedPageBreak/>
              <w:t>C3</w:t>
            </w:r>
          </w:p>
        </w:tc>
        <w:tc>
          <w:tcPr>
            <w:tcW w:w="2551" w:type="dxa"/>
            <w:shd w:val="clear" w:color="auto" w:fill="DBE5F1" w:themeFill="accent1" w:themeFillTint="33"/>
            <w:vAlign w:val="center"/>
          </w:tcPr>
          <w:p w14:paraId="79E7CAB8" w14:textId="77777777" w:rsidR="00402BA5" w:rsidRPr="004A36FA" w:rsidRDefault="00402BA5" w:rsidP="00402BA5">
            <w:pPr>
              <w:spacing w:beforeLines="20" w:before="48" w:afterLines="20" w:after="48"/>
              <w:contextualSpacing/>
              <w:rPr>
                <w:sz w:val="20"/>
                <w:szCs w:val="20"/>
              </w:rPr>
            </w:pPr>
          </w:p>
        </w:tc>
        <w:tc>
          <w:tcPr>
            <w:tcW w:w="2551" w:type="dxa"/>
            <w:vAlign w:val="center"/>
          </w:tcPr>
          <w:p w14:paraId="4C58F319" w14:textId="77777777" w:rsidR="00402BA5" w:rsidRPr="004A36FA" w:rsidRDefault="00402BA5" w:rsidP="00402BA5">
            <w:pPr>
              <w:spacing w:beforeLines="20" w:before="48" w:afterLines="20" w:after="48"/>
              <w:contextualSpacing/>
              <w:rPr>
                <w:sz w:val="20"/>
                <w:szCs w:val="20"/>
              </w:rPr>
            </w:pPr>
            <w:r w:rsidRPr="004A36FA">
              <w:rPr>
                <w:sz w:val="20"/>
                <w:szCs w:val="20"/>
              </w:rPr>
              <w:t>Exportierte elektrische Energie (EEE)</w:t>
            </w:r>
          </w:p>
          <w:p w14:paraId="0B72E279" w14:textId="77777777" w:rsidR="00402BA5" w:rsidRPr="004A36FA" w:rsidRDefault="00402BA5" w:rsidP="00402BA5">
            <w:pPr>
              <w:spacing w:beforeLines="20" w:before="48" w:afterLines="20" w:after="48"/>
              <w:contextualSpacing/>
              <w:rPr>
                <w:sz w:val="20"/>
                <w:szCs w:val="20"/>
              </w:rPr>
            </w:pPr>
            <w:r w:rsidRPr="004A36FA">
              <w:rPr>
                <w:sz w:val="20"/>
                <w:szCs w:val="20"/>
              </w:rPr>
              <w:t>Exportierte thermische Energie (EET)</w:t>
            </w:r>
          </w:p>
        </w:tc>
        <w:tc>
          <w:tcPr>
            <w:tcW w:w="2551" w:type="dxa"/>
            <w:vAlign w:val="center"/>
          </w:tcPr>
          <w:p w14:paraId="5166EE02" w14:textId="77777777" w:rsidR="00402BA5" w:rsidRPr="004A36FA" w:rsidRDefault="00402BA5" w:rsidP="00402BA5">
            <w:pPr>
              <w:spacing w:beforeLines="20" w:before="48" w:afterLines="20" w:after="48"/>
              <w:contextualSpacing/>
              <w:rPr>
                <w:sz w:val="20"/>
                <w:szCs w:val="20"/>
              </w:rPr>
            </w:pPr>
            <w:r w:rsidRPr="004A36FA">
              <w:rPr>
                <w:sz w:val="20"/>
                <w:szCs w:val="20"/>
              </w:rPr>
              <w:t>Stoffe für die Energie-rückgewinnung (MER)</w:t>
            </w:r>
          </w:p>
        </w:tc>
      </w:tr>
      <w:tr w:rsidR="00402BA5" w:rsidRPr="004A36FA" w14:paraId="44DCEBB6" w14:textId="77777777" w:rsidTr="004F0068">
        <w:tc>
          <w:tcPr>
            <w:tcW w:w="1134" w:type="dxa"/>
          </w:tcPr>
          <w:p w14:paraId="5E02A21A" w14:textId="77777777" w:rsidR="00402BA5" w:rsidRPr="004A36FA" w:rsidRDefault="00402BA5" w:rsidP="00402BA5">
            <w:pPr>
              <w:spacing w:beforeLines="20" w:before="48" w:afterLines="20" w:after="48"/>
              <w:contextualSpacing/>
              <w:jc w:val="center"/>
              <w:rPr>
                <w:sz w:val="20"/>
                <w:szCs w:val="20"/>
              </w:rPr>
            </w:pPr>
            <w:r w:rsidRPr="004A36FA">
              <w:rPr>
                <w:sz w:val="20"/>
                <w:szCs w:val="20"/>
              </w:rPr>
              <w:t>C4</w:t>
            </w:r>
          </w:p>
        </w:tc>
        <w:tc>
          <w:tcPr>
            <w:tcW w:w="2551" w:type="dxa"/>
            <w:vAlign w:val="center"/>
          </w:tcPr>
          <w:p w14:paraId="2611AD11" w14:textId="77777777" w:rsidR="00402BA5" w:rsidRPr="004A36FA" w:rsidRDefault="00402BA5" w:rsidP="00402BA5">
            <w:pPr>
              <w:spacing w:beforeLines="20" w:before="48" w:afterLines="20" w:after="48"/>
              <w:contextualSpacing/>
              <w:rPr>
                <w:sz w:val="20"/>
                <w:szCs w:val="20"/>
              </w:rPr>
            </w:pPr>
            <w:bookmarkStart w:id="7" w:name="_Hlk88642732"/>
            <w:r w:rsidRPr="004A36FA">
              <w:rPr>
                <w:sz w:val="20"/>
                <w:szCs w:val="20"/>
              </w:rPr>
              <w:t>Exportierte elektrische Energie (EEE)</w:t>
            </w:r>
          </w:p>
          <w:p w14:paraId="0F29350D" w14:textId="77777777" w:rsidR="00402BA5" w:rsidRPr="004A36FA" w:rsidRDefault="00402BA5" w:rsidP="00402BA5">
            <w:pPr>
              <w:spacing w:beforeLines="20" w:before="48" w:afterLines="20" w:after="48"/>
              <w:contextualSpacing/>
              <w:rPr>
                <w:sz w:val="20"/>
                <w:szCs w:val="20"/>
              </w:rPr>
            </w:pPr>
            <w:r w:rsidRPr="004A36FA">
              <w:rPr>
                <w:sz w:val="20"/>
                <w:szCs w:val="20"/>
              </w:rPr>
              <w:t>Exportierte thermische Energie (EET)</w:t>
            </w:r>
            <w:bookmarkEnd w:id="7"/>
          </w:p>
        </w:tc>
        <w:tc>
          <w:tcPr>
            <w:tcW w:w="2551" w:type="dxa"/>
            <w:shd w:val="clear" w:color="auto" w:fill="DBE5F1" w:themeFill="accent1" w:themeFillTint="33"/>
            <w:vAlign w:val="center"/>
          </w:tcPr>
          <w:p w14:paraId="3AE4FF53" w14:textId="77777777" w:rsidR="00402BA5" w:rsidRPr="004A36FA" w:rsidRDefault="00402BA5" w:rsidP="00402BA5">
            <w:pPr>
              <w:spacing w:beforeLines="20" w:before="48" w:afterLines="20" w:after="48"/>
              <w:contextualSpacing/>
              <w:rPr>
                <w:sz w:val="20"/>
                <w:szCs w:val="20"/>
              </w:rPr>
            </w:pPr>
          </w:p>
        </w:tc>
        <w:tc>
          <w:tcPr>
            <w:tcW w:w="2551" w:type="dxa"/>
            <w:shd w:val="clear" w:color="auto" w:fill="DBE5F1" w:themeFill="accent1" w:themeFillTint="33"/>
            <w:vAlign w:val="center"/>
          </w:tcPr>
          <w:p w14:paraId="7E23F78E" w14:textId="77777777" w:rsidR="00402BA5" w:rsidRPr="004A36FA" w:rsidRDefault="00402BA5" w:rsidP="00402BA5">
            <w:pPr>
              <w:spacing w:beforeLines="20" w:before="48" w:afterLines="20" w:after="48"/>
              <w:contextualSpacing/>
              <w:rPr>
                <w:sz w:val="20"/>
                <w:szCs w:val="20"/>
              </w:rPr>
            </w:pPr>
          </w:p>
        </w:tc>
      </w:tr>
    </w:tbl>
    <w:p w14:paraId="6C6C5905" w14:textId="0B119CD5" w:rsidR="00FB255D" w:rsidRDefault="001D072C" w:rsidP="001D072C">
      <w:pPr>
        <w:pStyle w:val="berschrift3"/>
      </w:pPr>
      <w:r>
        <w:t>B2.3</w:t>
      </w:r>
      <w:r>
        <w:tab/>
      </w:r>
      <w:r w:rsidR="00214FB7">
        <w:t>Ver</w:t>
      </w:r>
      <w:r>
        <w:t>rechnung</w:t>
      </w:r>
      <w:r w:rsidR="00214FB7">
        <w:t xml:space="preserve"> der </w:t>
      </w:r>
      <w:r w:rsidR="00BD774B">
        <w:t>materialinhärent</w:t>
      </w:r>
      <w:r w:rsidR="00214FB7">
        <w:t>e</w:t>
      </w:r>
      <w:r w:rsidR="00B22338">
        <w:t>n</w:t>
      </w:r>
      <w:r w:rsidR="00214FB7">
        <w:t xml:space="preserve"> Eigenschaften</w:t>
      </w:r>
    </w:p>
    <w:p w14:paraId="13A004FD" w14:textId="3820B81C" w:rsidR="00852833" w:rsidRDefault="00852833" w:rsidP="001D072C">
      <w:pPr>
        <w:pStyle w:val="Regeln"/>
      </w:pPr>
      <w:r>
        <w:t xml:space="preserve">Entsprechend der Modellierung der Entsorgungsverfahren sind die </w:t>
      </w:r>
      <w:r w:rsidR="00BD774B">
        <w:t>materialinhärent</w:t>
      </w:r>
      <w:r>
        <w:t xml:space="preserve">en Eigenschaften wie </w:t>
      </w:r>
      <w:r w:rsidR="001D072C">
        <w:t xml:space="preserve">in </w:t>
      </w:r>
      <w:r w:rsidR="001D072C" w:rsidRPr="00F24EBE">
        <w:fldChar w:fldCharType="begin"/>
      </w:r>
      <w:r w:rsidR="001D072C" w:rsidRPr="00F24EBE">
        <w:instrText xml:space="preserve"> REF _Ref77096689 \h </w:instrText>
      </w:r>
      <w:r w:rsidR="00F24EBE" w:rsidRPr="00F24EBE">
        <w:instrText xml:space="preserve"> \* MERGEFORMAT </w:instrText>
      </w:r>
      <w:r w:rsidR="001D072C" w:rsidRPr="00F24EBE">
        <w:fldChar w:fldCharType="separate"/>
      </w:r>
      <w:r w:rsidR="00223538" w:rsidRPr="00223538">
        <w:t xml:space="preserve">Tabelle </w:t>
      </w:r>
      <w:r w:rsidR="00223538" w:rsidRPr="00223538">
        <w:rPr>
          <w:noProof/>
        </w:rPr>
        <w:t>3</w:t>
      </w:r>
      <w:r w:rsidR="001D072C" w:rsidRPr="00F24EBE">
        <w:fldChar w:fldCharType="end"/>
      </w:r>
      <w:r w:rsidR="001D072C" w:rsidRPr="00F24EBE">
        <w:t xml:space="preserve"> dargestellt</w:t>
      </w:r>
      <w:r w:rsidR="001D072C">
        <w:t xml:space="preserve"> </w:t>
      </w:r>
      <w:r>
        <w:t xml:space="preserve">zu </w:t>
      </w:r>
      <w:r w:rsidR="001D072C">
        <w:t>verrechnen.</w:t>
      </w:r>
    </w:p>
    <w:p w14:paraId="73A3C508" w14:textId="5439C377" w:rsidR="001D072C" w:rsidRPr="007D55C7" w:rsidRDefault="001D072C" w:rsidP="00243994">
      <w:pPr>
        <w:pStyle w:val="Regeln"/>
        <w:keepNext/>
        <w:numPr>
          <w:ilvl w:val="0"/>
          <w:numId w:val="0"/>
        </w:numPr>
        <w:ind w:left="851"/>
        <w:rPr>
          <w:i/>
        </w:rPr>
      </w:pPr>
      <w:bookmarkStart w:id="8" w:name="_Ref77096689"/>
      <w:bookmarkStart w:id="9" w:name="_Hlk101970998"/>
      <w:r w:rsidRPr="004A36FA">
        <w:rPr>
          <w:b/>
        </w:rPr>
        <w:t xml:space="preserve">Tabelle </w:t>
      </w:r>
      <w:r w:rsidRPr="004A36FA">
        <w:rPr>
          <w:b/>
        </w:rPr>
        <w:fldChar w:fldCharType="begin"/>
      </w:r>
      <w:r w:rsidRPr="004A36FA">
        <w:rPr>
          <w:b/>
        </w:rPr>
        <w:instrText xml:space="preserve"> SEQ Tabelle \* ARABIC </w:instrText>
      </w:r>
      <w:r w:rsidRPr="004A36FA">
        <w:rPr>
          <w:b/>
        </w:rPr>
        <w:fldChar w:fldCharType="separate"/>
      </w:r>
      <w:r w:rsidR="00223538">
        <w:rPr>
          <w:b/>
          <w:noProof/>
        </w:rPr>
        <w:t>3</w:t>
      </w:r>
      <w:r w:rsidRPr="004A36FA">
        <w:rPr>
          <w:b/>
        </w:rPr>
        <w:fldChar w:fldCharType="end"/>
      </w:r>
      <w:bookmarkEnd w:id="8"/>
      <w:r>
        <w:rPr>
          <w:b/>
        </w:rPr>
        <w:t>:</w:t>
      </w:r>
      <w:r w:rsidRPr="001D072C">
        <w:t xml:space="preserve"> </w:t>
      </w:r>
      <w:r>
        <w:t xml:space="preserve">Verrechnung der </w:t>
      </w:r>
      <w:r w:rsidR="00BD774B">
        <w:t>materialinhärent</w:t>
      </w:r>
      <w:r>
        <w:t>en Eigenschaften</w:t>
      </w:r>
    </w:p>
    <w:tbl>
      <w:tblPr>
        <w:tblStyle w:val="Tabellenraster"/>
        <w:tblW w:w="8787" w:type="dxa"/>
        <w:tblInd w:w="846" w:type="dxa"/>
        <w:tblLayout w:type="fixed"/>
        <w:tblLook w:val="04A0" w:firstRow="1" w:lastRow="0" w:firstColumn="1" w:lastColumn="0" w:noHBand="0" w:noVBand="1"/>
      </w:tblPr>
      <w:tblGrid>
        <w:gridCol w:w="1134"/>
        <w:gridCol w:w="2551"/>
        <w:gridCol w:w="2551"/>
        <w:gridCol w:w="2551"/>
      </w:tblGrid>
      <w:tr w:rsidR="007F1127" w:rsidRPr="001D072C" w14:paraId="278A0007" w14:textId="77777777" w:rsidTr="004F0068">
        <w:tc>
          <w:tcPr>
            <w:tcW w:w="1134" w:type="dxa"/>
            <w:vAlign w:val="center"/>
          </w:tcPr>
          <w:p w14:paraId="7CEC0E3C" w14:textId="77698663" w:rsidR="007F1127" w:rsidRPr="00402BA5" w:rsidRDefault="00402BA5" w:rsidP="00243994">
            <w:pPr>
              <w:keepNext/>
              <w:spacing w:before="20" w:after="20"/>
              <w:contextualSpacing/>
              <w:jc w:val="center"/>
              <w:rPr>
                <w:b/>
                <w:sz w:val="20"/>
              </w:rPr>
            </w:pPr>
            <w:r w:rsidRPr="00402BA5">
              <w:rPr>
                <w:b/>
                <w:sz w:val="20"/>
              </w:rPr>
              <w:t>Modul</w:t>
            </w:r>
          </w:p>
        </w:tc>
        <w:tc>
          <w:tcPr>
            <w:tcW w:w="2551" w:type="dxa"/>
            <w:vAlign w:val="center"/>
          </w:tcPr>
          <w:p w14:paraId="06EB1A12" w14:textId="77777777" w:rsidR="007F1127" w:rsidRPr="001D072C" w:rsidRDefault="007F1127" w:rsidP="00243994">
            <w:pPr>
              <w:keepNext/>
              <w:spacing w:before="20" w:after="20"/>
              <w:contextualSpacing/>
              <w:jc w:val="center"/>
              <w:rPr>
                <w:b/>
                <w:sz w:val="20"/>
              </w:rPr>
            </w:pPr>
            <w:r w:rsidRPr="001D072C">
              <w:rPr>
                <w:b/>
                <w:sz w:val="20"/>
              </w:rPr>
              <w:t>Thermische Abfallbehandlung</w:t>
            </w:r>
          </w:p>
        </w:tc>
        <w:tc>
          <w:tcPr>
            <w:tcW w:w="2551" w:type="dxa"/>
            <w:vAlign w:val="center"/>
          </w:tcPr>
          <w:p w14:paraId="0453EB33" w14:textId="4D4943E6" w:rsidR="007F1127" w:rsidRPr="001D072C" w:rsidRDefault="007F1127" w:rsidP="00243994">
            <w:pPr>
              <w:keepNext/>
              <w:spacing w:before="20" w:after="20"/>
              <w:contextualSpacing/>
              <w:jc w:val="center"/>
              <w:rPr>
                <w:b/>
                <w:sz w:val="20"/>
              </w:rPr>
            </w:pPr>
            <w:r w:rsidRPr="001D072C">
              <w:rPr>
                <w:b/>
                <w:sz w:val="20"/>
              </w:rPr>
              <w:t>Energierückgewinnung</w:t>
            </w:r>
          </w:p>
        </w:tc>
        <w:tc>
          <w:tcPr>
            <w:tcW w:w="2551" w:type="dxa"/>
            <w:vAlign w:val="center"/>
          </w:tcPr>
          <w:p w14:paraId="2272C205" w14:textId="77777777" w:rsidR="007F1127" w:rsidRPr="001D072C" w:rsidRDefault="007F1127" w:rsidP="00243994">
            <w:pPr>
              <w:keepNext/>
              <w:spacing w:before="20" w:after="20"/>
              <w:contextualSpacing/>
              <w:jc w:val="center"/>
              <w:rPr>
                <w:b/>
                <w:sz w:val="20"/>
              </w:rPr>
            </w:pPr>
            <w:r w:rsidRPr="001D072C">
              <w:rPr>
                <w:b/>
                <w:sz w:val="20"/>
              </w:rPr>
              <w:t>Verwendung als Sekundärbrennstoff</w:t>
            </w:r>
          </w:p>
        </w:tc>
      </w:tr>
      <w:tr w:rsidR="007F1127" w:rsidRPr="00851AF3" w14:paraId="386D77F1" w14:textId="77777777" w:rsidTr="004F0068">
        <w:tc>
          <w:tcPr>
            <w:tcW w:w="1134" w:type="dxa"/>
          </w:tcPr>
          <w:p w14:paraId="742FC795" w14:textId="77777777" w:rsidR="007F1127" w:rsidRPr="001D072C" w:rsidRDefault="007F1127" w:rsidP="00243994">
            <w:pPr>
              <w:keepNext/>
              <w:spacing w:before="20" w:after="20"/>
              <w:contextualSpacing/>
              <w:jc w:val="center"/>
              <w:rPr>
                <w:sz w:val="20"/>
              </w:rPr>
            </w:pPr>
            <w:r w:rsidRPr="001D072C">
              <w:rPr>
                <w:sz w:val="20"/>
              </w:rPr>
              <w:t>C3</w:t>
            </w:r>
          </w:p>
        </w:tc>
        <w:tc>
          <w:tcPr>
            <w:tcW w:w="2551" w:type="dxa"/>
            <w:shd w:val="clear" w:color="auto" w:fill="DBE5F1" w:themeFill="accent1" w:themeFillTint="33"/>
          </w:tcPr>
          <w:p w14:paraId="6808A46D" w14:textId="77777777" w:rsidR="007F1127" w:rsidRPr="002D6101" w:rsidRDefault="007F1127" w:rsidP="00243994">
            <w:pPr>
              <w:keepNext/>
              <w:spacing w:before="20" w:after="20"/>
              <w:contextualSpacing/>
              <w:rPr>
                <w:sz w:val="20"/>
              </w:rPr>
            </w:pPr>
          </w:p>
        </w:tc>
        <w:tc>
          <w:tcPr>
            <w:tcW w:w="2551" w:type="dxa"/>
          </w:tcPr>
          <w:p w14:paraId="61350BC7" w14:textId="04342577" w:rsidR="002D6101" w:rsidRPr="002D6101" w:rsidRDefault="002D6101" w:rsidP="00243994">
            <w:pPr>
              <w:keepNext/>
              <w:spacing w:before="20" w:after="20"/>
              <w:contextualSpacing/>
              <w:rPr>
                <w:sz w:val="20"/>
              </w:rPr>
            </w:pPr>
            <w:r w:rsidRPr="002D6101">
              <w:rPr>
                <w:sz w:val="20"/>
              </w:rPr>
              <w:t>Verbrennungsprozess:</w:t>
            </w:r>
          </w:p>
          <w:p w14:paraId="2D60E338" w14:textId="652F4348" w:rsidR="00851AF3" w:rsidRPr="002D6101" w:rsidRDefault="008C4AF3" w:rsidP="00243994">
            <w:pPr>
              <w:keepNext/>
              <w:spacing w:before="20" w:after="20"/>
              <w:contextualSpacing/>
              <w:rPr>
                <w:sz w:val="20"/>
              </w:rPr>
            </w:pPr>
            <w:r w:rsidRPr="002D6101">
              <w:rPr>
                <w:sz w:val="20"/>
              </w:rPr>
              <w:t xml:space="preserve">- </w:t>
            </w:r>
            <w:r w:rsidR="007F1127" w:rsidRPr="002D6101">
              <w:rPr>
                <w:sz w:val="20"/>
              </w:rPr>
              <w:t xml:space="preserve">PERM </w:t>
            </w:r>
            <w:r w:rsidR="007F1127" w:rsidRPr="002D6101">
              <w:rPr>
                <w:sz w:val="20"/>
              </w:rPr>
              <w:sym w:font="Wingdings" w:char="F0E0"/>
            </w:r>
            <w:r w:rsidR="007F1127" w:rsidRPr="002D6101">
              <w:rPr>
                <w:sz w:val="20"/>
              </w:rPr>
              <w:t xml:space="preserve"> </w:t>
            </w:r>
            <w:r w:rsidRPr="002D6101">
              <w:rPr>
                <w:sz w:val="20"/>
              </w:rPr>
              <w:t xml:space="preserve">+ </w:t>
            </w:r>
            <w:r w:rsidR="007F1127" w:rsidRPr="002D6101">
              <w:rPr>
                <w:sz w:val="20"/>
              </w:rPr>
              <w:t>PERE</w:t>
            </w:r>
            <w:r w:rsidR="007F1127" w:rsidRPr="002D6101">
              <w:rPr>
                <w:sz w:val="20"/>
              </w:rPr>
              <w:br/>
            </w:r>
            <w:r w:rsidRPr="002D6101">
              <w:rPr>
                <w:sz w:val="20"/>
              </w:rPr>
              <w:t xml:space="preserve">- </w:t>
            </w:r>
            <w:r w:rsidR="007F1127" w:rsidRPr="002D6101">
              <w:rPr>
                <w:sz w:val="20"/>
              </w:rPr>
              <w:t xml:space="preserve">PENRM </w:t>
            </w:r>
            <w:r w:rsidR="007F1127" w:rsidRPr="002D6101">
              <w:rPr>
                <w:sz w:val="20"/>
              </w:rPr>
              <w:sym w:font="Wingdings" w:char="F0E0"/>
            </w:r>
            <w:r w:rsidR="007F1127" w:rsidRPr="002D6101">
              <w:rPr>
                <w:sz w:val="20"/>
              </w:rPr>
              <w:t xml:space="preserve"> </w:t>
            </w:r>
            <w:r w:rsidRPr="002D6101">
              <w:rPr>
                <w:sz w:val="20"/>
              </w:rPr>
              <w:t xml:space="preserve">+ </w:t>
            </w:r>
            <w:r w:rsidR="007F1127" w:rsidRPr="002D6101">
              <w:rPr>
                <w:sz w:val="20"/>
              </w:rPr>
              <w:t>PENRE</w:t>
            </w:r>
            <w:bookmarkStart w:id="10" w:name="_Hlk77172039"/>
          </w:p>
          <w:p w14:paraId="2E98C8D5" w14:textId="214E7ABB" w:rsidR="007F1127" w:rsidRPr="002D6101" w:rsidRDefault="00D618AD" w:rsidP="00243994">
            <w:pPr>
              <w:keepNext/>
              <w:spacing w:before="120" w:after="20"/>
              <w:rPr>
                <w:sz w:val="20"/>
              </w:rPr>
            </w:pPr>
            <w:r w:rsidRPr="002D6101">
              <w:rPr>
                <w:sz w:val="20"/>
              </w:rPr>
              <w:t xml:space="preserve">+ GWP biogen </w:t>
            </w:r>
            <w:r w:rsidR="002F4CE1">
              <w:rPr>
                <w:sz w:val="20"/>
              </w:rPr>
              <w:br/>
              <w:t xml:space="preserve">  </w:t>
            </w:r>
            <w:r>
              <w:rPr>
                <w:sz w:val="20"/>
              </w:rPr>
              <w:t>(</w:t>
            </w:r>
            <w:r w:rsidR="007F1127" w:rsidRPr="002D6101">
              <w:rPr>
                <w:sz w:val="20"/>
              </w:rPr>
              <w:t xml:space="preserve">C-Gehalt </w:t>
            </w:r>
            <w:r w:rsidR="00092617" w:rsidRPr="002D6101">
              <w:rPr>
                <w:sz w:val="20"/>
              </w:rPr>
              <w:sym w:font="Wingdings" w:char="F0E0"/>
            </w:r>
            <w:r w:rsidR="007F1127" w:rsidRPr="002D6101">
              <w:rPr>
                <w:sz w:val="20"/>
              </w:rPr>
              <w:t xml:space="preserve"> </w:t>
            </w:r>
            <w:r w:rsidR="00157682" w:rsidRPr="002D6101">
              <w:rPr>
                <w:sz w:val="20"/>
              </w:rPr>
              <w:t>CO</w:t>
            </w:r>
            <w:r w:rsidR="00157682" w:rsidRPr="002D6101">
              <w:rPr>
                <w:sz w:val="20"/>
                <w:vertAlign w:val="subscript"/>
              </w:rPr>
              <w:t>2</w:t>
            </w:r>
            <w:r w:rsidR="00157682" w:rsidRPr="002D6101">
              <w:rPr>
                <w:sz w:val="20"/>
              </w:rPr>
              <w:t>)</w:t>
            </w:r>
            <w:bookmarkEnd w:id="10"/>
          </w:p>
        </w:tc>
        <w:tc>
          <w:tcPr>
            <w:tcW w:w="2551" w:type="dxa"/>
          </w:tcPr>
          <w:p w14:paraId="64B15D9A" w14:textId="60722BD2" w:rsidR="002D6101" w:rsidRPr="002D6101" w:rsidRDefault="002D6101" w:rsidP="00243994">
            <w:pPr>
              <w:keepNext/>
              <w:spacing w:before="20" w:after="20"/>
              <w:contextualSpacing/>
              <w:rPr>
                <w:sz w:val="20"/>
              </w:rPr>
            </w:pPr>
            <w:r w:rsidRPr="002D6101">
              <w:rPr>
                <w:sz w:val="20"/>
              </w:rPr>
              <w:t xml:space="preserve">Austrag </w:t>
            </w:r>
            <w:r w:rsidR="0024206E">
              <w:rPr>
                <w:sz w:val="20"/>
              </w:rPr>
              <w:t>Sekundärbrennstoff</w:t>
            </w:r>
            <w:r w:rsidRPr="002D6101">
              <w:rPr>
                <w:sz w:val="20"/>
              </w:rPr>
              <w:t>:</w:t>
            </w:r>
          </w:p>
          <w:p w14:paraId="651FABCD" w14:textId="04986041" w:rsidR="00851AF3" w:rsidRPr="002D6101" w:rsidRDefault="00092617" w:rsidP="00243994">
            <w:pPr>
              <w:keepNext/>
              <w:spacing w:before="20" w:after="20"/>
              <w:contextualSpacing/>
              <w:rPr>
                <w:sz w:val="20"/>
              </w:rPr>
            </w:pPr>
            <w:r w:rsidRPr="002D6101">
              <w:rPr>
                <w:sz w:val="20"/>
              </w:rPr>
              <w:t>- PERM</w:t>
            </w:r>
            <w:r w:rsidRPr="002D6101">
              <w:rPr>
                <w:sz w:val="20"/>
              </w:rPr>
              <w:br/>
              <w:t>- PENRM</w:t>
            </w:r>
          </w:p>
          <w:p w14:paraId="365D680C" w14:textId="268D374C" w:rsidR="007F1127" w:rsidRPr="002D6101" w:rsidRDefault="002F4CE1" w:rsidP="00243994">
            <w:pPr>
              <w:keepNext/>
              <w:spacing w:before="120" w:after="20"/>
              <w:rPr>
                <w:sz w:val="20"/>
              </w:rPr>
            </w:pPr>
            <w:r w:rsidRPr="002D6101">
              <w:rPr>
                <w:sz w:val="20"/>
              </w:rPr>
              <w:t xml:space="preserve">+ GWP biogen </w:t>
            </w:r>
            <w:r>
              <w:rPr>
                <w:sz w:val="20"/>
              </w:rPr>
              <w:t>(</w:t>
            </w:r>
            <w:r w:rsidR="00157682" w:rsidRPr="002D6101">
              <w:rPr>
                <w:sz w:val="20"/>
              </w:rPr>
              <w:t xml:space="preserve">- </w:t>
            </w:r>
            <w:r w:rsidR="00092617" w:rsidRPr="002D6101">
              <w:rPr>
                <w:sz w:val="20"/>
              </w:rPr>
              <w:t>C-Gehalt</w:t>
            </w:r>
            <w:r w:rsidR="00851AF3" w:rsidRPr="002D6101">
              <w:rPr>
                <w:sz w:val="20"/>
              </w:rPr>
              <w:t>)</w:t>
            </w:r>
          </w:p>
        </w:tc>
      </w:tr>
      <w:tr w:rsidR="007F1127" w:rsidRPr="008E65ED" w14:paraId="1530680F" w14:textId="77777777" w:rsidTr="004F0068">
        <w:tc>
          <w:tcPr>
            <w:tcW w:w="1134" w:type="dxa"/>
          </w:tcPr>
          <w:p w14:paraId="5A9F1B63" w14:textId="77777777" w:rsidR="007F1127" w:rsidRPr="001D072C" w:rsidRDefault="007F1127" w:rsidP="00243994">
            <w:pPr>
              <w:keepNext/>
              <w:spacing w:before="20" w:after="20"/>
              <w:contextualSpacing/>
              <w:jc w:val="center"/>
              <w:rPr>
                <w:sz w:val="20"/>
              </w:rPr>
            </w:pPr>
            <w:r w:rsidRPr="001D072C">
              <w:rPr>
                <w:sz w:val="20"/>
              </w:rPr>
              <w:t>C4</w:t>
            </w:r>
          </w:p>
        </w:tc>
        <w:tc>
          <w:tcPr>
            <w:tcW w:w="2551" w:type="dxa"/>
          </w:tcPr>
          <w:p w14:paraId="5BC53796" w14:textId="4D59960B" w:rsidR="002D6101" w:rsidRDefault="002D6101" w:rsidP="00243994">
            <w:pPr>
              <w:keepNext/>
              <w:spacing w:before="20" w:after="20"/>
              <w:contextualSpacing/>
              <w:rPr>
                <w:sz w:val="20"/>
              </w:rPr>
            </w:pPr>
            <w:r>
              <w:rPr>
                <w:sz w:val="20"/>
              </w:rPr>
              <w:t>Verbrennungsprozess:</w:t>
            </w:r>
          </w:p>
          <w:p w14:paraId="19152091" w14:textId="2064F2D9" w:rsidR="00157682" w:rsidRPr="002D6101" w:rsidRDefault="008C4AF3" w:rsidP="00243994">
            <w:pPr>
              <w:keepNext/>
              <w:spacing w:before="20" w:after="20"/>
              <w:contextualSpacing/>
              <w:rPr>
                <w:sz w:val="20"/>
              </w:rPr>
            </w:pPr>
            <w:r w:rsidRPr="002D6101">
              <w:rPr>
                <w:sz w:val="20"/>
              </w:rPr>
              <w:t xml:space="preserve">- </w:t>
            </w:r>
            <w:r w:rsidR="007F1127" w:rsidRPr="002D6101">
              <w:rPr>
                <w:sz w:val="20"/>
              </w:rPr>
              <w:t xml:space="preserve">PERM </w:t>
            </w:r>
            <w:r w:rsidR="007F1127" w:rsidRPr="002D6101">
              <w:rPr>
                <w:sz w:val="20"/>
              </w:rPr>
              <w:sym w:font="Wingdings" w:char="F0E0"/>
            </w:r>
            <w:r w:rsidR="007F1127" w:rsidRPr="002D6101">
              <w:rPr>
                <w:sz w:val="20"/>
              </w:rPr>
              <w:t xml:space="preserve"> </w:t>
            </w:r>
            <w:r w:rsidRPr="002D6101">
              <w:rPr>
                <w:sz w:val="20"/>
              </w:rPr>
              <w:t xml:space="preserve">+ </w:t>
            </w:r>
            <w:r w:rsidR="007F1127" w:rsidRPr="002D6101">
              <w:rPr>
                <w:sz w:val="20"/>
              </w:rPr>
              <w:t>PERE</w:t>
            </w:r>
            <w:r w:rsidR="007F1127" w:rsidRPr="002D6101">
              <w:rPr>
                <w:sz w:val="20"/>
              </w:rPr>
              <w:br/>
            </w:r>
            <w:r w:rsidRPr="002D6101">
              <w:rPr>
                <w:sz w:val="20"/>
              </w:rPr>
              <w:t xml:space="preserve">- </w:t>
            </w:r>
            <w:r w:rsidR="007F1127" w:rsidRPr="002D6101">
              <w:rPr>
                <w:sz w:val="20"/>
              </w:rPr>
              <w:t xml:space="preserve">PENRM </w:t>
            </w:r>
            <w:r w:rsidR="007F1127" w:rsidRPr="002D6101">
              <w:rPr>
                <w:sz w:val="20"/>
              </w:rPr>
              <w:sym w:font="Wingdings" w:char="F0E0"/>
            </w:r>
            <w:r w:rsidR="007F1127" w:rsidRPr="002D6101">
              <w:rPr>
                <w:sz w:val="20"/>
              </w:rPr>
              <w:t xml:space="preserve"> </w:t>
            </w:r>
            <w:r w:rsidRPr="002D6101">
              <w:rPr>
                <w:sz w:val="20"/>
              </w:rPr>
              <w:t xml:space="preserve">+ </w:t>
            </w:r>
            <w:r w:rsidR="007F1127" w:rsidRPr="002D6101">
              <w:rPr>
                <w:sz w:val="20"/>
              </w:rPr>
              <w:t>PENRE</w:t>
            </w:r>
          </w:p>
          <w:p w14:paraId="24EA7FB4" w14:textId="422C95E1" w:rsidR="007F1127" w:rsidRPr="002D6101" w:rsidRDefault="002F4CE1" w:rsidP="00243994">
            <w:pPr>
              <w:keepNext/>
              <w:spacing w:before="120" w:after="20"/>
              <w:rPr>
                <w:sz w:val="20"/>
              </w:rPr>
            </w:pPr>
            <w:r w:rsidRPr="002D6101">
              <w:rPr>
                <w:sz w:val="20"/>
              </w:rPr>
              <w:t xml:space="preserve">+ GWP biogen </w:t>
            </w:r>
            <w:r>
              <w:rPr>
                <w:sz w:val="20"/>
              </w:rPr>
              <w:br/>
              <w:t xml:space="preserve">  (</w:t>
            </w:r>
            <w:r w:rsidRPr="002D6101">
              <w:rPr>
                <w:sz w:val="20"/>
              </w:rPr>
              <w:t xml:space="preserve">C-Gehalt </w:t>
            </w:r>
            <w:r w:rsidRPr="002D6101">
              <w:rPr>
                <w:sz w:val="20"/>
              </w:rPr>
              <w:sym w:font="Wingdings" w:char="F0E0"/>
            </w:r>
            <w:r w:rsidRPr="002D6101">
              <w:rPr>
                <w:sz w:val="20"/>
              </w:rPr>
              <w:t xml:space="preserve"> CO</w:t>
            </w:r>
            <w:r w:rsidRPr="002D6101">
              <w:rPr>
                <w:sz w:val="20"/>
                <w:vertAlign w:val="subscript"/>
              </w:rPr>
              <w:t>2</w:t>
            </w:r>
            <w:r w:rsidRPr="002D6101">
              <w:rPr>
                <w:sz w:val="20"/>
              </w:rPr>
              <w:t>)</w:t>
            </w:r>
          </w:p>
        </w:tc>
        <w:tc>
          <w:tcPr>
            <w:tcW w:w="2551" w:type="dxa"/>
            <w:shd w:val="clear" w:color="auto" w:fill="DBE5F1" w:themeFill="accent1" w:themeFillTint="33"/>
          </w:tcPr>
          <w:p w14:paraId="5331F4F4" w14:textId="77777777" w:rsidR="007F1127" w:rsidRPr="002D6101" w:rsidRDefault="007F1127" w:rsidP="00243994">
            <w:pPr>
              <w:keepNext/>
              <w:spacing w:before="20" w:after="20"/>
              <w:contextualSpacing/>
              <w:rPr>
                <w:sz w:val="20"/>
              </w:rPr>
            </w:pPr>
          </w:p>
        </w:tc>
        <w:tc>
          <w:tcPr>
            <w:tcW w:w="2551" w:type="dxa"/>
            <w:shd w:val="clear" w:color="auto" w:fill="DBE5F1" w:themeFill="accent1" w:themeFillTint="33"/>
          </w:tcPr>
          <w:p w14:paraId="3E8F294E" w14:textId="77777777" w:rsidR="007F1127" w:rsidRPr="002D6101" w:rsidRDefault="007F1127" w:rsidP="00243994">
            <w:pPr>
              <w:keepNext/>
              <w:spacing w:before="20" w:after="20"/>
              <w:contextualSpacing/>
              <w:rPr>
                <w:sz w:val="20"/>
              </w:rPr>
            </w:pPr>
          </w:p>
        </w:tc>
      </w:tr>
      <w:tr w:rsidR="00092617" w:rsidRPr="00B67C01" w14:paraId="0907ED57" w14:textId="77777777" w:rsidTr="004F0068">
        <w:tc>
          <w:tcPr>
            <w:tcW w:w="1134" w:type="dxa"/>
          </w:tcPr>
          <w:p w14:paraId="7D14CF4D" w14:textId="77777777" w:rsidR="00092617" w:rsidRPr="001D072C" w:rsidRDefault="00092617" w:rsidP="00243994">
            <w:pPr>
              <w:keepNext/>
              <w:spacing w:before="20" w:after="20"/>
              <w:contextualSpacing/>
              <w:jc w:val="center"/>
              <w:rPr>
                <w:sz w:val="20"/>
              </w:rPr>
            </w:pPr>
            <w:r w:rsidRPr="001D072C">
              <w:rPr>
                <w:sz w:val="20"/>
              </w:rPr>
              <w:t>D</w:t>
            </w:r>
          </w:p>
        </w:tc>
        <w:tc>
          <w:tcPr>
            <w:tcW w:w="2551" w:type="dxa"/>
            <w:shd w:val="clear" w:color="auto" w:fill="DBE5F1" w:themeFill="accent1" w:themeFillTint="33"/>
          </w:tcPr>
          <w:p w14:paraId="39AB494E" w14:textId="77777777" w:rsidR="00157682" w:rsidRPr="00EF2BD5" w:rsidRDefault="00157682" w:rsidP="00243994">
            <w:pPr>
              <w:keepNext/>
              <w:spacing w:before="60" w:after="20"/>
              <w:rPr>
                <w:sz w:val="20"/>
              </w:rPr>
            </w:pPr>
            <w:r w:rsidRPr="00EF2BD5">
              <w:rPr>
                <w:sz w:val="20"/>
              </w:rPr>
              <w:t>PERM = 0</w:t>
            </w:r>
            <w:r w:rsidRPr="00EF2BD5">
              <w:rPr>
                <w:sz w:val="20"/>
              </w:rPr>
              <w:br/>
              <w:t>PENRM = 0</w:t>
            </w:r>
          </w:p>
          <w:p w14:paraId="2261C498" w14:textId="746E21D4" w:rsidR="00092617" w:rsidRPr="00EF2BD5" w:rsidRDefault="002F4CE1" w:rsidP="00243994">
            <w:pPr>
              <w:keepNext/>
              <w:spacing w:before="120" w:after="20"/>
              <w:rPr>
                <w:sz w:val="20"/>
              </w:rPr>
            </w:pPr>
            <w:r w:rsidRPr="00EF2BD5">
              <w:rPr>
                <w:sz w:val="20"/>
              </w:rPr>
              <w:t xml:space="preserve">GWP biogen </w:t>
            </w:r>
            <w:r>
              <w:rPr>
                <w:sz w:val="20"/>
              </w:rPr>
              <w:t>(</w:t>
            </w:r>
            <w:r w:rsidR="00157682" w:rsidRPr="00EF2BD5">
              <w:rPr>
                <w:sz w:val="20"/>
              </w:rPr>
              <w:t>C-Gehalt) = 0</w:t>
            </w:r>
          </w:p>
        </w:tc>
        <w:tc>
          <w:tcPr>
            <w:tcW w:w="2551" w:type="dxa"/>
            <w:shd w:val="clear" w:color="auto" w:fill="DBE5F1" w:themeFill="accent1" w:themeFillTint="33"/>
          </w:tcPr>
          <w:p w14:paraId="6F7EA40C" w14:textId="77777777" w:rsidR="00157682" w:rsidRPr="00EF2BD5" w:rsidRDefault="00851AF3" w:rsidP="00243994">
            <w:pPr>
              <w:keepNext/>
              <w:spacing w:before="60" w:after="20"/>
              <w:rPr>
                <w:sz w:val="20"/>
              </w:rPr>
            </w:pPr>
            <w:r w:rsidRPr="00EF2BD5">
              <w:rPr>
                <w:sz w:val="20"/>
              </w:rPr>
              <w:t>PERM = 0</w:t>
            </w:r>
            <w:r w:rsidRPr="00EF2BD5">
              <w:rPr>
                <w:sz w:val="20"/>
              </w:rPr>
              <w:br/>
              <w:t>PENRM = 0</w:t>
            </w:r>
          </w:p>
          <w:p w14:paraId="1BBFCC5E" w14:textId="79FF7EB6" w:rsidR="00092617" w:rsidRPr="00EF2BD5" w:rsidRDefault="002F4CE1" w:rsidP="00243994">
            <w:pPr>
              <w:keepNext/>
              <w:spacing w:before="120" w:after="20"/>
              <w:rPr>
                <w:sz w:val="20"/>
              </w:rPr>
            </w:pPr>
            <w:r w:rsidRPr="00EF2BD5">
              <w:rPr>
                <w:sz w:val="20"/>
              </w:rPr>
              <w:t xml:space="preserve">GWP biogen </w:t>
            </w:r>
            <w:r>
              <w:rPr>
                <w:sz w:val="20"/>
              </w:rPr>
              <w:t>(</w:t>
            </w:r>
            <w:r w:rsidRPr="00EF2BD5">
              <w:rPr>
                <w:sz w:val="20"/>
              </w:rPr>
              <w:t xml:space="preserve">C-Gehalt) </w:t>
            </w:r>
            <w:r w:rsidR="00851AF3" w:rsidRPr="00EF2BD5">
              <w:rPr>
                <w:sz w:val="20"/>
              </w:rPr>
              <w:t>= 0</w:t>
            </w:r>
          </w:p>
        </w:tc>
        <w:tc>
          <w:tcPr>
            <w:tcW w:w="2551" w:type="dxa"/>
            <w:shd w:val="clear" w:color="auto" w:fill="auto"/>
          </w:tcPr>
          <w:p w14:paraId="7BE8D652" w14:textId="1D6A9D75" w:rsidR="00B07A82" w:rsidRPr="002D6101" w:rsidRDefault="00B07A82" w:rsidP="00243994">
            <w:pPr>
              <w:keepNext/>
              <w:spacing w:before="60" w:after="20"/>
              <w:contextualSpacing/>
              <w:rPr>
                <w:sz w:val="20"/>
              </w:rPr>
            </w:pPr>
            <w:r w:rsidRPr="002D6101">
              <w:rPr>
                <w:sz w:val="20"/>
              </w:rPr>
              <w:t>Eingang Sekundärbrennstoff:</w:t>
            </w:r>
          </w:p>
          <w:p w14:paraId="4177EFB2" w14:textId="4E09CD5B" w:rsidR="00B07A82" w:rsidRPr="00081517" w:rsidRDefault="00B07A82" w:rsidP="00243994">
            <w:pPr>
              <w:keepNext/>
              <w:spacing w:before="60" w:after="20"/>
              <w:contextualSpacing/>
              <w:rPr>
                <w:sz w:val="20"/>
              </w:rPr>
            </w:pPr>
            <w:r w:rsidRPr="00081517">
              <w:rPr>
                <w:sz w:val="20"/>
              </w:rPr>
              <w:t>+ PERM</w:t>
            </w:r>
          </w:p>
          <w:p w14:paraId="6917FA64" w14:textId="4A5255F1" w:rsidR="00B07A82" w:rsidRPr="002D6101" w:rsidRDefault="00B07A82" w:rsidP="00243994">
            <w:pPr>
              <w:keepNext/>
              <w:spacing w:before="60" w:after="20"/>
              <w:contextualSpacing/>
              <w:rPr>
                <w:sz w:val="20"/>
              </w:rPr>
            </w:pPr>
            <w:r w:rsidRPr="002D6101">
              <w:rPr>
                <w:sz w:val="20"/>
              </w:rPr>
              <w:t>+ PENRM</w:t>
            </w:r>
          </w:p>
          <w:p w14:paraId="6655ADE8" w14:textId="6D46A3F3" w:rsidR="00B07A82" w:rsidRPr="002D6101" w:rsidRDefault="002F4CE1" w:rsidP="00243994">
            <w:pPr>
              <w:keepNext/>
              <w:spacing w:before="120" w:after="20"/>
              <w:rPr>
                <w:sz w:val="20"/>
              </w:rPr>
            </w:pPr>
            <w:bookmarkStart w:id="11" w:name="_Hlk88658426"/>
            <w:r w:rsidRPr="002D6101">
              <w:rPr>
                <w:sz w:val="20"/>
              </w:rPr>
              <w:t xml:space="preserve">- GWP biogen </w:t>
            </w:r>
            <w:r>
              <w:rPr>
                <w:sz w:val="20"/>
              </w:rPr>
              <w:t>(</w:t>
            </w:r>
            <w:r w:rsidR="00B07A82" w:rsidRPr="002D6101">
              <w:rPr>
                <w:sz w:val="20"/>
              </w:rPr>
              <w:t>+ C-Gehalt)</w:t>
            </w:r>
            <w:bookmarkEnd w:id="11"/>
          </w:p>
          <w:p w14:paraId="2F977DAB" w14:textId="1356E1CD" w:rsidR="00851AF3" w:rsidRPr="002D6101" w:rsidRDefault="002D6101" w:rsidP="00243994">
            <w:pPr>
              <w:keepNext/>
              <w:spacing w:before="120" w:after="20"/>
              <w:rPr>
                <w:sz w:val="20"/>
              </w:rPr>
            </w:pPr>
            <w:r>
              <w:rPr>
                <w:sz w:val="20"/>
              </w:rPr>
              <w:t>Verbrennungsprozess</w:t>
            </w:r>
            <w:r w:rsidR="00B07A82" w:rsidRPr="002D6101">
              <w:rPr>
                <w:sz w:val="20"/>
              </w:rPr>
              <w:t>:</w:t>
            </w:r>
            <w:r w:rsidR="00000C66" w:rsidRPr="002D6101">
              <w:rPr>
                <w:sz w:val="20"/>
              </w:rPr>
              <w:br/>
            </w:r>
            <w:r w:rsidR="008C4AF3" w:rsidRPr="00081517">
              <w:rPr>
                <w:sz w:val="20"/>
              </w:rPr>
              <w:t xml:space="preserve">- </w:t>
            </w:r>
            <w:r w:rsidR="00852833" w:rsidRPr="00081517">
              <w:rPr>
                <w:sz w:val="20"/>
              </w:rPr>
              <w:t xml:space="preserve">PERM </w:t>
            </w:r>
            <w:r w:rsidR="00852833" w:rsidRPr="002D6101">
              <w:rPr>
                <w:sz w:val="20"/>
              </w:rPr>
              <w:sym w:font="Wingdings" w:char="F0E0"/>
            </w:r>
            <w:r w:rsidR="00852833" w:rsidRPr="002D6101">
              <w:rPr>
                <w:sz w:val="20"/>
              </w:rPr>
              <w:t xml:space="preserve"> </w:t>
            </w:r>
            <w:r w:rsidR="008C4AF3" w:rsidRPr="002D6101">
              <w:rPr>
                <w:sz w:val="20"/>
              </w:rPr>
              <w:t xml:space="preserve">+ </w:t>
            </w:r>
            <w:r w:rsidR="00852833" w:rsidRPr="002D6101">
              <w:rPr>
                <w:sz w:val="20"/>
              </w:rPr>
              <w:t>PERE</w:t>
            </w:r>
            <w:r w:rsidR="00852833" w:rsidRPr="002D6101">
              <w:rPr>
                <w:sz w:val="20"/>
              </w:rPr>
              <w:br/>
            </w:r>
            <w:r w:rsidR="008C4AF3" w:rsidRPr="002D6101">
              <w:rPr>
                <w:sz w:val="20"/>
              </w:rPr>
              <w:t xml:space="preserve">- </w:t>
            </w:r>
            <w:r w:rsidR="00852833" w:rsidRPr="002D6101">
              <w:rPr>
                <w:sz w:val="20"/>
              </w:rPr>
              <w:t xml:space="preserve">PENRM </w:t>
            </w:r>
            <w:r w:rsidR="00852833" w:rsidRPr="002D6101">
              <w:rPr>
                <w:sz w:val="20"/>
              </w:rPr>
              <w:sym w:font="Wingdings" w:char="F0E0"/>
            </w:r>
            <w:r w:rsidR="00852833" w:rsidRPr="002D6101">
              <w:rPr>
                <w:sz w:val="20"/>
              </w:rPr>
              <w:t xml:space="preserve"> </w:t>
            </w:r>
            <w:r w:rsidR="008C4AF3" w:rsidRPr="002D6101">
              <w:rPr>
                <w:sz w:val="20"/>
              </w:rPr>
              <w:t xml:space="preserve">+ </w:t>
            </w:r>
            <w:r w:rsidR="00852833" w:rsidRPr="002D6101">
              <w:rPr>
                <w:sz w:val="20"/>
              </w:rPr>
              <w:t>PENRE</w:t>
            </w:r>
          </w:p>
          <w:p w14:paraId="28100120" w14:textId="1D1884AC" w:rsidR="00B67C01" w:rsidRPr="002D6101" w:rsidRDefault="002F4CE1" w:rsidP="00243994">
            <w:pPr>
              <w:keepNext/>
              <w:spacing w:before="120" w:after="20"/>
              <w:rPr>
                <w:sz w:val="20"/>
              </w:rPr>
            </w:pPr>
            <w:r w:rsidRPr="002D6101">
              <w:rPr>
                <w:sz w:val="20"/>
              </w:rPr>
              <w:t xml:space="preserve">+ GWP biogen </w:t>
            </w:r>
            <w:r>
              <w:rPr>
                <w:sz w:val="20"/>
              </w:rPr>
              <w:br/>
              <w:t xml:space="preserve">  (</w:t>
            </w:r>
            <w:r w:rsidRPr="002D6101">
              <w:rPr>
                <w:sz w:val="20"/>
              </w:rPr>
              <w:t xml:space="preserve">C-Gehalt </w:t>
            </w:r>
            <w:r w:rsidRPr="002D6101">
              <w:rPr>
                <w:sz w:val="20"/>
              </w:rPr>
              <w:sym w:font="Wingdings" w:char="F0E0"/>
            </w:r>
            <w:r w:rsidRPr="002D6101">
              <w:rPr>
                <w:sz w:val="20"/>
              </w:rPr>
              <w:t xml:space="preserve"> CO</w:t>
            </w:r>
            <w:r w:rsidRPr="002D6101">
              <w:rPr>
                <w:sz w:val="20"/>
                <w:vertAlign w:val="subscript"/>
              </w:rPr>
              <w:t>2</w:t>
            </w:r>
            <w:r w:rsidRPr="002D6101">
              <w:rPr>
                <w:sz w:val="20"/>
              </w:rPr>
              <w:t>)</w:t>
            </w:r>
          </w:p>
        </w:tc>
      </w:tr>
    </w:tbl>
    <w:bookmarkEnd w:id="9"/>
    <w:p w14:paraId="1028C560" w14:textId="1338378E" w:rsidR="007F1127" w:rsidRPr="00852833" w:rsidRDefault="008A7B84" w:rsidP="00852833">
      <w:pPr>
        <w:spacing w:before="120"/>
        <w:ind w:left="710" w:firstLine="141"/>
        <w:rPr>
          <w:lang w:val="de-AT"/>
        </w:rPr>
      </w:pPr>
      <w:r w:rsidRPr="00BC4A18">
        <w:rPr>
          <w:u w:val="single"/>
          <w:lang w:val="de-AT"/>
        </w:rPr>
        <w:t>Erläuterung</w:t>
      </w:r>
      <w:r w:rsidR="00B733B0">
        <w:rPr>
          <w:lang w:val="de-AT"/>
        </w:rPr>
        <w:t>:</w:t>
      </w:r>
    </w:p>
    <w:p w14:paraId="187A3509" w14:textId="606E98BD" w:rsidR="00851AF3" w:rsidRDefault="004A4ECC" w:rsidP="004A4ECC">
      <w:pPr>
        <w:ind w:left="851"/>
        <w:rPr>
          <w:lang w:val="de-AT"/>
        </w:rPr>
      </w:pPr>
      <w:r>
        <w:t>Der Pfeil („</w:t>
      </w:r>
      <w:r w:rsidRPr="001D072C">
        <w:rPr>
          <w:lang w:val="en-US"/>
        </w:rPr>
        <w:sym w:font="Wingdings" w:char="F0E0"/>
      </w:r>
      <w:r w:rsidRPr="004A4ECC">
        <w:rPr>
          <w:lang w:val="de-AT"/>
        </w:rPr>
        <w:t>”) bedeutet, dass i</w:t>
      </w:r>
      <w:r>
        <w:rPr>
          <w:lang w:val="de-AT"/>
        </w:rPr>
        <w:t>m jeweiligen Modul ein Umwandlungsprozess einer stoffinhärenten Eigenschaft stattfindet</w:t>
      </w:r>
      <w:r w:rsidR="00851AF3">
        <w:rPr>
          <w:lang w:val="de-AT"/>
        </w:rPr>
        <w:t>. Beispiel:</w:t>
      </w:r>
    </w:p>
    <w:p w14:paraId="01B08AB6" w14:textId="6CB65C41" w:rsidR="00851AF3" w:rsidRPr="00851AF3" w:rsidRDefault="002F4CE1" w:rsidP="002F4CE1">
      <w:pPr>
        <w:ind w:left="1416"/>
        <w:rPr>
          <w:lang w:val="de-AT"/>
        </w:rPr>
      </w:pPr>
      <w:r>
        <w:t>„+ GWP biogen (</w:t>
      </w:r>
      <w:r w:rsidR="00F24EBE" w:rsidRPr="00F24EBE">
        <w:rPr>
          <w:lang w:val="de-AT"/>
        </w:rPr>
        <w:t xml:space="preserve">C-Gehalt </w:t>
      </w:r>
      <w:r w:rsidR="00851AF3" w:rsidRPr="001D072C">
        <w:rPr>
          <w:lang w:val="en-US"/>
        </w:rPr>
        <w:sym w:font="Wingdings" w:char="F0E0"/>
      </w:r>
      <w:r w:rsidR="00F24EBE" w:rsidRPr="00F24EBE">
        <w:rPr>
          <w:lang w:val="de-AT"/>
        </w:rPr>
        <w:t xml:space="preserve"> </w:t>
      </w:r>
      <w:r w:rsidR="00157682" w:rsidRPr="00157682">
        <w:rPr>
          <w:lang w:val="de-AT"/>
        </w:rPr>
        <w:t>CO</w:t>
      </w:r>
      <w:r w:rsidR="00157682" w:rsidRPr="00157682">
        <w:rPr>
          <w:vertAlign w:val="subscript"/>
          <w:lang w:val="de-AT"/>
        </w:rPr>
        <w:t>2</w:t>
      </w:r>
      <w:r>
        <w:rPr>
          <w:lang w:val="de-AT"/>
        </w:rPr>
        <w:t>)“</w:t>
      </w:r>
      <w:r w:rsidR="00F24EBE">
        <w:rPr>
          <w:lang w:val="de-AT"/>
        </w:rPr>
        <w:t xml:space="preserve"> bedeutet: Der im Produkt</w:t>
      </w:r>
      <w:r w:rsidR="004A4ECC">
        <w:rPr>
          <w:lang w:val="de-AT"/>
        </w:rPr>
        <w:t xml:space="preserve"> </w:t>
      </w:r>
      <w:r w:rsidR="00F24EBE">
        <w:rPr>
          <w:lang w:val="de-AT"/>
        </w:rPr>
        <w:t xml:space="preserve">gespeicherte Kohlenstoff („C-Gehalt“) wird bei </w:t>
      </w:r>
      <w:r w:rsidR="00000C66">
        <w:rPr>
          <w:lang w:val="de-AT"/>
        </w:rPr>
        <w:t>Verbrennungsprozessen</w:t>
      </w:r>
      <w:r w:rsidR="00F24EBE">
        <w:rPr>
          <w:lang w:val="de-AT"/>
        </w:rPr>
        <w:t xml:space="preserve"> </w:t>
      </w:r>
      <w:r w:rsidR="004A4ECC">
        <w:rPr>
          <w:lang w:val="de-AT"/>
        </w:rPr>
        <w:t>in CO</w:t>
      </w:r>
      <w:r w:rsidR="004A4ECC" w:rsidRPr="004A4ECC">
        <w:rPr>
          <w:vertAlign w:val="subscript"/>
          <w:lang w:val="de-AT"/>
        </w:rPr>
        <w:t>2</w:t>
      </w:r>
      <w:r w:rsidR="004A4ECC">
        <w:rPr>
          <w:lang w:val="de-AT"/>
        </w:rPr>
        <w:t xml:space="preserve">-Emissionen </w:t>
      </w:r>
      <w:r w:rsidR="00157682">
        <w:rPr>
          <w:lang w:val="de-AT"/>
        </w:rPr>
        <w:t>umgewandelt, welche im</w:t>
      </w:r>
      <w:r w:rsidR="004A4ECC">
        <w:rPr>
          <w:lang w:val="de-AT"/>
        </w:rPr>
        <w:t xml:space="preserve"> GWP biogen</w:t>
      </w:r>
      <w:r w:rsidR="00157682">
        <w:rPr>
          <w:lang w:val="de-AT"/>
        </w:rPr>
        <w:t xml:space="preserve"> als positiver Wert ausgedrückt werden</w:t>
      </w:r>
      <w:r w:rsidR="004A4ECC">
        <w:rPr>
          <w:lang w:val="de-AT"/>
        </w:rPr>
        <w:t>.</w:t>
      </w:r>
      <w:r w:rsidR="00933B79">
        <w:rPr>
          <w:lang w:val="de-AT"/>
        </w:rPr>
        <w:br/>
      </w:r>
      <w:r w:rsidR="00E4441B">
        <w:t xml:space="preserve">Auch beim Szenario „Verwendung als Sekundärrohstoff“ wird der Kohlenstoff, der in diesem Fall das Produktsystem gebunden im Sekundärbrennstoff, also ohne Umwandlung, verlässt, im GWP biogen ausgebucht </w:t>
      </w:r>
      <w:r w:rsidR="00E4441B">
        <w:rPr>
          <w:lang w:val="de-AT"/>
        </w:rPr>
        <w:t>(„</w:t>
      </w:r>
      <w:r w:rsidRPr="002F4CE1">
        <w:rPr>
          <w:lang w:val="de-AT"/>
        </w:rPr>
        <w:t>+ GWP biogen (- C-Gehalt)</w:t>
      </w:r>
      <w:r w:rsidR="00E4441B">
        <w:rPr>
          <w:lang w:val="de-AT"/>
        </w:rPr>
        <w:t>“).</w:t>
      </w:r>
    </w:p>
    <w:p w14:paraId="0728B225" w14:textId="76EF372B" w:rsidR="00852833" w:rsidRPr="004A4ECC" w:rsidRDefault="008A7B84" w:rsidP="00CA22D3">
      <w:pPr>
        <w:spacing w:before="120"/>
        <w:ind w:left="851"/>
      </w:pPr>
      <w:r>
        <w:t>Bei</w:t>
      </w:r>
      <w:r w:rsidR="00852833">
        <w:t xml:space="preserve"> den</w:t>
      </w:r>
      <w:r>
        <w:t xml:space="preserve"> Entsorgungsverfahren</w:t>
      </w:r>
      <w:r w:rsidRPr="004F4946">
        <w:t xml:space="preserve"> </w:t>
      </w:r>
      <w:r>
        <w:t>„</w:t>
      </w:r>
      <w:r w:rsidR="00FB255D" w:rsidRPr="004A4ECC">
        <w:rPr>
          <w:b/>
        </w:rPr>
        <w:t>Thermische Abfallbehandlung</w:t>
      </w:r>
      <w:r w:rsidRPr="008A7B84">
        <w:t xml:space="preserve">“ </w:t>
      </w:r>
      <w:r w:rsidR="00852833">
        <w:t>und „</w:t>
      </w:r>
      <w:r w:rsidR="00852833" w:rsidRPr="004A4ECC">
        <w:rPr>
          <w:b/>
        </w:rPr>
        <w:t>Energierückgewinnung</w:t>
      </w:r>
      <w:r w:rsidR="00852833" w:rsidRPr="008A7B84">
        <w:t xml:space="preserve">“ </w:t>
      </w:r>
      <w:r w:rsidRPr="008A7B84">
        <w:t>wird d</w:t>
      </w:r>
      <w:r w:rsidR="00742E79" w:rsidRPr="008A7B84">
        <w:t>ie</w:t>
      </w:r>
      <w:r w:rsidR="00742E79" w:rsidRPr="004F4946">
        <w:t xml:space="preserve"> </w:t>
      </w:r>
      <w:r>
        <w:t xml:space="preserve">rohstofflich genutzte </w:t>
      </w:r>
      <w:r w:rsidR="00742E79" w:rsidRPr="004F4946">
        <w:t>Primärenergie (PERM, PENRM</w:t>
      </w:r>
      <w:r w:rsidR="005D05CB">
        <w:t>)</w:t>
      </w:r>
      <w:r>
        <w:t xml:space="preserve"> in energetisch genutzte Primärenergie </w:t>
      </w:r>
      <w:r w:rsidRPr="004A4ECC">
        <w:t>(PERE, PENRE) umgewandelt.</w:t>
      </w:r>
      <w:r w:rsidR="00742E79" w:rsidRPr="004A4ECC">
        <w:t xml:space="preserve"> </w:t>
      </w:r>
      <w:r w:rsidRPr="004A4ECC">
        <w:t>PERM, PENRM werden daher</w:t>
      </w:r>
      <w:r w:rsidR="00742E79" w:rsidRPr="004A4ECC">
        <w:t xml:space="preserve"> als negativer Wert </w:t>
      </w:r>
      <w:r w:rsidRPr="004A4ECC">
        <w:t xml:space="preserve">ausgebucht und der gleiche </w:t>
      </w:r>
      <w:r w:rsidR="003415EB" w:rsidRPr="004A4ECC">
        <w:t xml:space="preserve">Wert in PERE, PENRE </w:t>
      </w:r>
      <w:r w:rsidR="00B733B0" w:rsidRPr="004A4ECC">
        <w:t xml:space="preserve">als positiver Wert </w:t>
      </w:r>
      <w:r w:rsidR="003415EB" w:rsidRPr="004A4ECC">
        <w:t>eingebucht.</w:t>
      </w:r>
      <w:r w:rsidR="00742E79" w:rsidRPr="004A4ECC">
        <w:br/>
      </w:r>
      <w:r w:rsidRPr="004A4ECC">
        <w:t>Der</w:t>
      </w:r>
      <w:r w:rsidR="00742E79" w:rsidRPr="004A4ECC">
        <w:t xml:space="preserve"> </w:t>
      </w:r>
      <w:r w:rsidRPr="004A4ECC">
        <w:t>biogene Kohlenstoffgehalt im</w:t>
      </w:r>
      <w:r w:rsidR="00742E79" w:rsidRPr="004A4ECC">
        <w:t xml:space="preserve"> </w:t>
      </w:r>
      <w:r w:rsidRPr="004A4ECC">
        <w:t>Material</w:t>
      </w:r>
      <w:r w:rsidR="00742E79" w:rsidRPr="004A4ECC">
        <w:t xml:space="preserve"> </w:t>
      </w:r>
      <w:r w:rsidRPr="004A4ECC">
        <w:t>wird bei der Verbrennung freigesetzt und ist im Globalen Erwärmungspotenzial biogen (GWP-biogen) als positive</w:t>
      </w:r>
      <w:r w:rsidR="00B733B0" w:rsidRPr="004A4ECC">
        <w:t>r</w:t>
      </w:r>
      <w:r w:rsidRPr="004A4ECC">
        <w:t xml:space="preserve"> </w:t>
      </w:r>
      <w:r w:rsidR="00B733B0" w:rsidRPr="004A4ECC">
        <w:t>Wert</w:t>
      </w:r>
      <w:r w:rsidRPr="004A4ECC">
        <w:t xml:space="preserve"> zu deklarieren.</w:t>
      </w:r>
      <w:r w:rsidR="003415EB" w:rsidRPr="004A4ECC">
        <w:br/>
      </w:r>
      <w:r w:rsidR="003415EB" w:rsidRPr="004A4ECC">
        <w:lastRenderedPageBreak/>
        <w:t xml:space="preserve">Beim Entsorgungsverfahren „Thermische Abfallbehandlung“ sind diese Angaben im Modul C4, beim </w:t>
      </w:r>
      <w:r w:rsidR="005C12A4" w:rsidRPr="004A4ECC">
        <w:t xml:space="preserve">Entsorgungsverfahren „Energierückgewinnung“ im Modul C3 </w:t>
      </w:r>
      <w:r w:rsidR="003415EB" w:rsidRPr="004A4ECC">
        <w:t>zu machen.</w:t>
      </w:r>
    </w:p>
    <w:p w14:paraId="3F46E6BF" w14:textId="6143DB56" w:rsidR="001C77AC" w:rsidRPr="004A4ECC" w:rsidRDefault="005C12A4" w:rsidP="00E2428D">
      <w:pPr>
        <w:spacing w:before="120"/>
        <w:ind w:left="851"/>
      </w:pPr>
      <w:r>
        <w:t>Beim Entsorgungsverfahren</w:t>
      </w:r>
      <w:r w:rsidRPr="004F4946">
        <w:t xml:space="preserve"> </w:t>
      </w:r>
      <w:r>
        <w:t>„</w:t>
      </w:r>
      <w:r w:rsidRPr="004A4ECC">
        <w:rPr>
          <w:b/>
        </w:rPr>
        <w:t>Verwendung als</w:t>
      </w:r>
      <w:r w:rsidRPr="005C12A4">
        <w:t xml:space="preserve"> </w:t>
      </w:r>
      <w:r w:rsidRPr="004A4ECC">
        <w:rPr>
          <w:b/>
        </w:rPr>
        <w:t>Sekundärbrennstoff</w:t>
      </w:r>
      <w:r w:rsidRPr="008A7B84">
        <w:t>“</w:t>
      </w:r>
      <w:r>
        <w:t xml:space="preserve"> wird d</w:t>
      </w:r>
      <w:r w:rsidRPr="004F4946">
        <w:t xml:space="preserve">ie </w:t>
      </w:r>
      <w:r>
        <w:t xml:space="preserve">rohstofflich genutzte </w:t>
      </w:r>
      <w:r w:rsidRPr="004F4946">
        <w:t xml:space="preserve">Primärenergie (PERM, PENRM) </w:t>
      </w:r>
      <w:r>
        <w:t>als materialinhärente Eigenschaft vom Modul C</w:t>
      </w:r>
      <w:r w:rsidR="00B80B4B">
        <w:t>3</w:t>
      </w:r>
      <w:r>
        <w:t xml:space="preserve"> an das Modul D </w:t>
      </w:r>
      <w:r w:rsidRPr="004A4ECC">
        <w:t>übergeben. Sie ist daher als negativer Wert in C3 anzugeben</w:t>
      </w:r>
      <w:r w:rsidR="00D310B3">
        <w:t xml:space="preserve">. Die mit dem Nettofluss des Sekundärbrennstoffes nach Modul D übertragene </w:t>
      </w:r>
      <w:r w:rsidR="00156245">
        <w:t>rohstofflich genutzte</w:t>
      </w:r>
      <w:r w:rsidR="00D310B3">
        <w:t xml:space="preserve"> Energie (PERM, PENRM) wird im Zuge der thermischen Verwertung</w:t>
      </w:r>
      <w:r w:rsidR="00156245">
        <w:t xml:space="preserve"> zu</w:t>
      </w:r>
      <w:r w:rsidR="00C35DF2">
        <w:t>r</w:t>
      </w:r>
      <w:r w:rsidR="00156245">
        <w:t xml:space="preserve"> genutzte</w:t>
      </w:r>
      <w:r w:rsidR="00C35DF2">
        <w:t>n</w:t>
      </w:r>
      <w:r w:rsidR="00156245">
        <w:t xml:space="preserve"> Energie</w:t>
      </w:r>
      <w:r w:rsidR="00D310B3">
        <w:t xml:space="preserve"> (PERE, PENRE)</w:t>
      </w:r>
      <w:r w:rsidR="00156245">
        <w:t xml:space="preserve"> umgewandelt</w:t>
      </w:r>
      <w:r w:rsidRPr="004A4ECC">
        <w:t>.</w:t>
      </w:r>
      <w:r w:rsidR="00183322" w:rsidRPr="004A4ECC">
        <w:br/>
      </w:r>
      <w:r w:rsidR="001C77AC" w:rsidRPr="004A4ECC">
        <w:t xml:space="preserve">Das Treibhauspotenzial des im </w:t>
      </w:r>
      <w:r w:rsidR="008736B2" w:rsidRPr="004A4ECC">
        <w:t>biogenen Material</w:t>
      </w:r>
      <w:r w:rsidR="001C77AC" w:rsidRPr="004A4ECC">
        <w:t xml:space="preserve"> gespeicherten CO</w:t>
      </w:r>
      <w:r w:rsidR="001C77AC" w:rsidRPr="004A4ECC">
        <w:rPr>
          <w:vertAlign w:val="subscript"/>
        </w:rPr>
        <w:t>2</w:t>
      </w:r>
      <w:r w:rsidR="001C77AC" w:rsidRPr="004A4ECC">
        <w:t xml:space="preserve"> ist im Modul C3</w:t>
      </w:r>
      <w:r w:rsidR="00B80B4B" w:rsidRPr="004A4ECC">
        <w:t xml:space="preserve"> als positiver Wert</w:t>
      </w:r>
      <w:r w:rsidR="001C77AC" w:rsidRPr="004A4ECC">
        <w:t xml:space="preserve"> mit +1</w:t>
      </w:r>
      <w:r w:rsidR="00C35DF2">
        <w:t> </w:t>
      </w:r>
      <w:r w:rsidR="001C77AC" w:rsidRPr="004A4ECC">
        <w:t>kg</w:t>
      </w:r>
      <w:r w:rsidR="00C35DF2">
        <w:t> </w:t>
      </w:r>
      <w:r w:rsidR="001C77AC" w:rsidRPr="004A4ECC">
        <w:t>CO</w:t>
      </w:r>
      <w:r w:rsidR="001C77AC" w:rsidRPr="004A4ECC">
        <w:rPr>
          <w:vertAlign w:val="subscript"/>
        </w:rPr>
        <w:t>2</w:t>
      </w:r>
      <w:r w:rsidR="001C77AC" w:rsidRPr="004A4ECC">
        <w:t>-Äq/kg</w:t>
      </w:r>
      <w:r w:rsidR="00C35DF2">
        <w:t> </w:t>
      </w:r>
      <w:r w:rsidR="001C77AC" w:rsidRPr="004A4ECC">
        <w:t>CO</w:t>
      </w:r>
      <w:r w:rsidR="001C77AC" w:rsidRPr="004A4ECC">
        <w:rPr>
          <w:vertAlign w:val="subscript"/>
        </w:rPr>
        <w:t>2</w:t>
      </w:r>
      <w:r w:rsidR="001C77AC" w:rsidRPr="004A4ECC">
        <w:t xml:space="preserve"> </w:t>
      </w:r>
      <w:r w:rsidR="00C35DF2">
        <w:t xml:space="preserve">im </w:t>
      </w:r>
      <w:r w:rsidR="00C35DF2" w:rsidRPr="004A4ECC">
        <w:t>GWP biogen</w:t>
      </w:r>
      <w:r w:rsidR="00C35DF2">
        <w:t xml:space="preserve"> </w:t>
      </w:r>
      <w:r w:rsidR="001C77AC" w:rsidRPr="004A4ECC">
        <w:t>an</w:t>
      </w:r>
      <w:r w:rsidR="00156245">
        <w:t>zugeben</w:t>
      </w:r>
      <w:r w:rsidR="001C77AC" w:rsidRPr="004A4ECC">
        <w:t xml:space="preserve"> (EN 15804, C2 </w:t>
      </w:r>
      <w:r w:rsidR="008736B2" w:rsidRPr="004A4ECC">
        <w:t>„</w:t>
      </w:r>
      <w:r w:rsidR="001C77AC" w:rsidRPr="004A4ECC">
        <w:t>Übergänge von Biomasse in nachfolgende Produktsysteme</w:t>
      </w:r>
      <w:r w:rsidR="008736B2" w:rsidRPr="004A4ECC">
        <w:t>“</w:t>
      </w:r>
      <w:r w:rsidR="00183322" w:rsidRPr="004A4ECC">
        <w:t xml:space="preserve"> und </w:t>
      </w:r>
      <w:r w:rsidR="001C77AC" w:rsidRPr="004A4ECC">
        <w:t>EN 16485)</w:t>
      </w:r>
      <w:r w:rsidR="00156245">
        <w:t>.</w:t>
      </w:r>
      <w:r w:rsidR="001C77AC" w:rsidRPr="004A4ECC">
        <w:t xml:space="preserve"> </w:t>
      </w:r>
      <w:r w:rsidR="00B35F2D">
        <w:t>Entsprechend wirkt sich das im Nettofluss des Sekundärbrennstoffes gespeicherte</w:t>
      </w:r>
      <w:r w:rsidR="00C35DF2">
        <w:t xml:space="preserve"> biogene</w:t>
      </w:r>
      <w:r w:rsidR="00B35F2D">
        <w:t xml:space="preserve"> </w:t>
      </w:r>
      <w:r w:rsidR="00B35F2D" w:rsidRPr="004A4ECC">
        <w:t>CO</w:t>
      </w:r>
      <w:r w:rsidR="00B35F2D" w:rsidRPr="004A4ECC">
        <w:rPr>
          <w:vertAlign w:val="subscript"/>
        </w:rPr>
        <w:t>2</w:t>
      </w:r>
      <w:r w:rsidR="00B35F2D" w:rsidRPr="004A4ECC">
        <w:t xml:space="preserve"> </w:t>
      </w:r>
      <w:r w:rsidR="00B35F2D">
        <w:t xml:space="preserve">bei Eingang in Modul D mit einem </w:t>
      </w:r>
      <w:r w:rsidR="00B80B4B" w:rsidRPr="004A4ECC">
        <w:t>negative</w:t>
      </w:r>
      <w:r w:rsidR="00B35F2D">
        <w:t>n</w:t>
      </w:r>
      <w:r w:rsidR="00B80B4B" w:rsidRPr="004A4ECC">
        <w:t xml:space="preserve"> Wert</w:t>
      </w:r>
      <w:r w:rsidR="00C35DF2">
        <w:t xml:space="preserve"> von</w:t>
      </w:r>
      <w:r w:rsidR="00B35F2D">
        <w:t xml:space="preserve"> </w:t>
      </w:r>
      <w:r w:rsidR="00B35F2D" w:rsidRPr="004A4ECC">
        <w:t>−1 kg CO</w:t>
      </w:r>
      <w:r w:rsidR="00B35F2D" w:rsidRPr="004A4ECC">
        <w:rPr>
          <w:vertAlign w:val="subscript"/>
        </w:rPr>
        <w:t>2</w:t>
      </w:r>
      <w:r w:rsidR="00B35F2D" w:rsidRPr="004A4ECC">
        <w:t>-Äq./kg CO</w:t>
      </w:r>
      <w:r w:rsidR="00B35F2D" w:rsidRPr="004A4ECC">
        <w:rPr>
          <w:vertAlign w:val="subscript"/>
        </w:rPr>
        <w:t>2</w:t>
      </w:r>
      <w:r w:rsidR="00B35F2D">
        <w:t xml:space="preserve"> auf das</w:t>
      </w:r>
      <w:r w:rsidR="00AE1C12">
        <w:t xml:space="preserve"> GWP</w:t>
      </w:r>
      <w:r w:rsidR="00B35F2D">
        <w:t> b</w:t>
      </w:r>
      <w:r w:rsidR="00AE1C12">
        <w:t xml:space="preserve">iogen </w:t>
      </w:r>
      <w:r w:rsidR="00B35F2D">
        <w:t>aus</w:t>
      </w:r>
      <w:r w:rsidR="001C77AC" w:rsidRPr="004A4ECC">
        <w:t xml:space="preserve"> (</w:t>
      </w:r>
      <w:r w:rsidR="00183322" w:rsidRPr="004A4ECC">
        <w:t>„</w:t>
      </w:r>
      <w:r w:rsidR="001C77AC" w:rsidRPr="004A4ECC">
        <w:t>Transfers von früheren Produktsystemen</w:t>
      </w:r>
      <w:r w:rsidR="00183322" w:rsidRPr="004A4ECC">
        <w:t>“)</w:t>
      </w:r>
      <w:r w:rsidR="001C77AC" w:rsidRPr="004A4ECC">
        <w:t>.</w:t>
      </w:r>
      <w:r w:rsidR="00AE1C12">
        <w:t xml:space="preserve"> Bei der Verbrennung des Sekundärbrennstoffs wird </w:t>
      </w:r>
      <w:r w:rsidR="00C35DF2">
        <w:t xml:space="preserve">das biogene </w:t>
      </w:r>
      <w:r w:rsidR="00AE1C12">
        <w:t>CO</w:t>
      </w:r>
      <w:r w:rsidR="00AE1C12" w:rsidRPr="00AE1C12">
        <w:rPr>
          <w:vertAlign w:val="subscript"/>
        </w:rPr>
        <w:t>2</w:t>
      </w:r>
      <w:r w:rsidR="00AE1C12">
        <w:t xml:space="preserve"> </w:t>
      </w:r>
      <w:r w:rsidR="00C35DF2">
        <w:t xml:space="preserve">schlussendlich </w:t>
      </w:r>
      <w:r w:rsidR="00AE1C12">
        <w:t>freigesetzt</w:t>
      </w:r>
      <w:r w:rsidR="00C35DF2">
        <w:t xml:space="preserve"> und </w:t>
      </w:r>
      <w:r w:rsidR="00942163">
        <w:t>als positiver Wert</w:t>
      </w:r>
      <w:r w:rsidR="00C35DF2" w:rsidRPr="004A4ECC">
        <w:t xml:space="preserve"> </w:t>
      </w:r>
      <w:r w:rsidR="00C35DF2">
        <w:t xml:space="preserve">im </w:t>
      </w:r>
      <w:r w:rsidR="00C35DF2" w:rsidRPr="004A4ECC">
        <w:t>GWP biogen</w:t>
      </w:r>
      <w:r w:rsidR="00C35DF2">
        <w:t xml:space="preserve"> angegeben</w:t>
      </w:r>
      <w:r w:rsidR="00AE1C12">
        <w:t>. Bei vollständiger Verbrennung (es wird nur CO</w:t>
      </w:r>
      <w:r w:rsidR="00AE1C12" w:rsidRPr="00933B79">
        <w:rPr>
          <w:vertAlign w:val="subscript"/>
        </w:rPr>
        <w:t>2</w:t>
      </w:r>
      <w:r w:rsidR="00AE1C12">
        <w:t xml:space="preserve"> und kein anderes Treibhausgas gebildet), ergibt die Summe dieser beiden Rechenschritte</w:t>
      </w:r>
      <w:r w:rsidR="00C35DF2">
        <w:t xml:space="preserve"> in Modul D</w:t>
      </w:r>
      <w:r w:rsidR="00AE1C12">
        <w:t xml:space="preserve"> null.</w:t>
      </w:r>
    </w:p>
    <w:p w14:paraId="4CE47C90" w14:textId="77777777" w:rsidR="00223538" w:rsidRDefault="00E2428D">
      <w:pPr>
        <w:spacing w:after="200"/>
        <w:rPr>
          <w:b/>
        </w:rPr>
      </w:pPr>
      <w:r>
        <w:t xml:space="preserve">Die Vorgangsweise wird </w:t>
      </w:r>
      <w:r w:rsidR="00A47279">
        <w:t xml:space="preserve">in </w:t>
      </w:r>
      <w:r w:rsidR="00A47279">
        <w:fldChar w:fldCharType="begin"/>
      </w:r>
      <w:r w:rsidR="00A47279">
        <w:instrText xml:space="preserve"> REF _Ref88659006 \h </w:instrText>
      </w:r>
      <w:r w:rsidR="00A47279">
        <w:fldChar w:fldCharType="separate"/>
      </w:r>
      <w:r w:rsidR="00223538">
        <w:rPr>
          <w:b/>
        </w:rPr>
        <w:br w:type="page"/>
      </w:r>
    </w:p>
    <w:p w14:paraId="6538862F" w14:textId="25334358" w:rsidR="00A47279" w:rsidRPr="00A47279" w:rsidRDefault="00223538" w:rsidP="00A47279">
      <w:pPr>
        <w:spacing w:before="120"/>
        <w:ind w:left="851"/>
      </w:pPr>
      <w:r w:rsidRPr="00A47279">
        <w:rPr>
          <w:b/>
        </w:rPr>
        <w:lastRenderedPageBreak/>
        <w:t xml:space="preserve">Abbildung </w:t>
      </w:r>
      <w:r>
        <w:rPr>
          <w:b/>
          <w:noProof/>
        </w:rPr>
        <w:t>1</w:t>
      </w:r>
      <w:r w:rsidR="00A47279">
        <w:fldChar w:fldCharType="end"/>
      </w:r>
      <w:r w:rsidR="00A47279">
        <w:t xml:space="preserve"> </w:t>
      </w:r>
      <w:r w:rsidR="00E2428D">
        <w:t>an</w:t>
      </w:r>
      <w:r w:rsidR="00BF3F9F">
        <w:t>h</w:t>
      </w:r>
      <w:r w:rsidR="00E2428D">
        <w:t xml:space="preserve">and eines </w:t>
      </w:r>
      <w:r w:rsidR="00B22338">
        <w:t xml:space="preserve">fiktiven </w:t>
      </w:r>
      <w:r w:rsidR="00E2428D">
        <w:t>Beispiels verdeutlicht</w:t>
      </w:r>
      <w:r w:rsidR="003415EB">
        <w:t>.</w:t>
      </w:r>
    </w:p>
    <w:p w14:paraId="53DEADEA" w14:textId="77777777" w:rsidR="009566A7" w:rsidRDefault="009566A7">
      <w:pPr>
        <w:spacing w:after="200"/>
        <w:rPr>
          <w:b/>
        </w:rPr>
      </w:pPr>
      <w:bookmarkStart w:id="12" w:name="_Ref88659006"/>
      <w:r>
        <w:rPr>
          <w:b/>
        </w:rPr>
        <w:br w:type="page"/>
      </w:r>
    </w:p>
    <w:p w14:paraId="16934A50" w14:textId="619306A6" w:rsidR="00B81D02" w:rsidRPr="00A47279" w:rsidRDefault="00A47279" w:rsidP="00A47279">
      <w:pPr>
        <w:pStyle w:val="Regeln"/>
        <w:keepNext/>
        <w:numPr>
          <w:ilvl w:val="0"/>
          <w:numId w:val="0"/>
        </w:numPr>
        <w:spacing w:after="80"/>
        <w:rPr>
          <w:b/>
        </w:rPr>
      </w:pPr>
      <w:r w:rsidRPr="00A47279">
        <w:rPr>
          <w:b/>
        </w:rPr>
        <w:lastRenderedPageBreak/>
        <w:t xml:space="preserve">Abbildung </w:t>
      </w:r>
      <w:r w:rsidRPr="00A47279">
        <w:rPr>
          <w:b/>
        </w:rPr>
        <w:fldChar w:fldCharType="begin"/>
      </w:r>
      <w:r w:rsidRPr="00A47279">
        <w:rPr>
          <w:b/>
        </w:rPr>
        <w:instrText xml:space="preserve"> SEQ Abbildung \* ARABIC </w:instrText>
      </w:r>
      <w:r w:rsidRPr="00A47279">
        <w:rPr>
          <w:b/>
        </w:rPr>
        <w:fldChar w:fldCharType="separate"/>
      </w:r>
      <w:r w:rsidR="00223538">
        <w:rPr>
          <w:b/>
          <w:noProof/>
        </w:rPr>
        <w:t>1</w:t>
      </w:r>
      <w:r w:rsidRPr="00A47279">
        <w:rPr>
          <w:b/>
        </w:rPr>
        <w:fldChar w:fldCharType="end"/>
      </w:r>
      <w:bookmarkEnd w:id="12"/>
      <w:r w:rsidRPr="00A47279">
        <w:rPr>
          <w:b/>
        </w:rPr>
        <w:t xml:space="preserve">: </w:t>
      </w:r>
      <w:r w:rsidR="00B81D02" w:rsidRPr="00A47279">
        <w:rPr>
          <w:b/>
        </w:rPr>
        <w:t xml:space="preserve">Beispiel: Deklaration der </w:t>
      </w:r>
      <w:r w:rsidR="00BD774B">
        <w:rPr>
          <w:b/>
        </w:rPr>
        <w:t>materialinhärent</w:t>
      </w:r>
      <w:r w:rsidR="00B81D02" w:rsidRPr="00B81D02">
        <w:rPr>
          <w:b/>
        </w:rPr>
        <w:t>en Eigenschaften</w:t>
      </w:r>
      <w:r w:rsidR="00B81D02">
        <w:rPr>
          <w:b/>
        </w:rPr>
        <w:t xml:space="preserve"> für thermische </w:t>
      </w:r>
      <w:r w:rsidR="004A4ECC">
        <w:rPr>
          <w:b/>
        </w:rPr>
        <w:t xml:space="preserve">Verwertungs- bzw. </w:t>
      </w:r>
      <w:r w:rsidR="00B81D02">
        <w:rPr>
          <w:b/>
        </w:rPr>
        <w:t>Entsorgungsverfahren</w:t>
      </w:r>
      <w:r w:rsidR="00B22338">
        <w:rPr>
          <w:b/>
        </w:rPr>
        <w:t xml:space="preserve"> </w:t>
      </w:r>
    </w:p>
    <w:tbl>
      <w:tblPr>
        <w:tblW w:w="8815" w:type="dxa"/>
        <w:tblLayout w:type="fixed"/>
        <w:tblCellMar>
          <w:left w:w="0" w:type="dxa"/>
          <w:right w:w="0" w:type="dxa"/>
        </w:tblCellMar>
        <w:tblLook w:val="04A0" w:firstRow="1" w:lastRow="0" w:firstColumn="1" w:lastColumn="0" w:noHBand="0" w:noVBand="1"/>
      </w:tblPr>
      <w:tblGrid>
        <w:gridCol w:w="2425"/>
        <w:gridCol w:w="1294"/>
        <w:gridCol w:w="1390"/>
        <w:gridCol w:w="1156"/>
        <w:gridCol w:w="850"/>
        <w:gridCol w:w="850"/>
        <w:gridCol w:w="850"/>
      </w:tblGrid>
      <w:tr w:rsidR="00286159" w:rsidRPr="003415EB" w14:paraId="62729538" w14:textId="77777777" w:rsidTr="00933B79">
        <w:tc>
          <w:tcPr>
            <w:tcW w:w="242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17A2809A" w14:textId="512EFA51" w:rsidR="00286159" w:rsidRPr="003415EB" w:rsidRDefault="00286159" w:rsidP="00286159">
            <w:pPr>
              <w:rPr>
                <w:rFonts w:cs="Arial"/>
                <w:color w:val="000000"/>
                <w:sz w:val="20"/>
                <w:szCs w:val="20"/>
              </w:rPr>
            </w:pPr>
            <w:r w:rsidRPr="003415EB">
              <w:rPr>
                <w:rFonts w:cs="Arial"/>
                <w:b/>
                <w:bCs/>
                <w:color w:val="000000"/>
                <w:sz w:val="20"/>
                <w:szCs w:val="20"/>
              </w:rPr>
              <w:t>Szenario 1 Thermische Abfallbehandlung</w:t>
            </w:r>
          </w:p>
        </w:tc>
        <w:tc>
          <w:tcPr>
            <w:tcW w:w="1294" w:type="dxa"/>
            <w:tcBorders>
              <w:top w:val="single" w:sz="4" w:space="0" w:color="auto"/>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502C60AC" w14:textId="1245CA8C" w:rsidR="00286159" w:rsidRPr="00B81D02" w:rsidRDefault="00286159" w:rsidP="00286159">
            <w:pPr>
              <w:jc w:val="center"/>
              <w:rPr>
                <w:rFonts w:cs="Arial"/>
                <w:b/>
                <w:color w:val="000000"/>
                <w:sz w:val="20"/>
                <w:szCs w:val="20"/>
              </w:rPr>
            </w:pPr>
            <w:r w:rsidRPr="00B81D02">
              <w:rPr>
                <w:rFonts w:cs="Arial"/>
                <w:b/>
                <w:color w:val="000000"/>
                <w:sz w:val="20"/>
                <w:szCs w:val="20"/>
              </w:rPr>
              <w:t>A1-A3</w:t>
            </w:r>
          </w:p>
        </w:tc>
        <w:tc>
          <w:tcPr>
            <w:tcW w:w="1390" w:type="dxa"/>
            <w:tcBorders>
              <w:top w:val="single" w:sz="4" w:space="0" w:color="auto"/>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51858053" w14:textId="1A781D86" w:rsidR="00286159" w:rsidRPr="00B81D02" w:rsidRDefault="00286159" w:rsidP="00286159">
            <w:pPr>
              <w:jc w:val="center"/>
              <w:rPr>
                <w:rFonts w:cs="Arial"/>
                <w:b/>
                <w:color w:val="000000"/>
                <w:sz w:val="20"/>
                <w:szCs w:val="20"/>
              </w:rPr>
            </w:pPr>
            <w:r w:rsidRPr="00B81D02">
              <w:rPr>
                <w:rFonts w:cs="Arial"/>
                <w:b/>
                <w:color w:val="000000"/>
                <w:sz w:val="20"/>
                <w:szCs w:val="20"/>
              </w:rPr>
              <w:t>C4</w:t>
            </w:r>
          </w:p>
        </w:tc>
        <w:tc>
          <w:tcPr>
            <w:tcW w:w="1156" w:type="dxa"/>
            <w:tcBorders>
              <w:top w:val="single" w:sz="4" w:space="0" w:color="auto"/>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0998C1D4" w14:textId="0D116E28" w:rsidR="00286159" w:rsidRPr="00B81D02" w:rsidRDefault="00286159" w:rsidP="00286159">
            <w:pPr>
              <w:jc w:val="center"/>
              <w:rPr>
                <w:rFonts w:cs="Arial"/>
                <w:b/>
                <w:color w:val="000000"/>
                <w:sz w:val="20"/>
                <w:szCs w:val="20"/>
              </w:rPr>
            </w:pPr>
            <w:r w:rsidRPr="00B81D02">
              <w:rPr>
                <w:rFonts w:cs="Arial"/>
                <w:b/>
                <w:color w:val="000000"/>
                <w:sz w:val="20"/>
                <w:szCs w:val="20"/>
              </w:rPr>
              <w:t>D</w:t>
            </w:r>
          </w:p>
        </w:tc>
        <w:tc>
          <w:tcPr>
            <w:tcW w:w="2550" w:type="dxa"/>
            <w:gridSpan w:val="3"/>
            <w:vMerge w:val="restart"/>
            <w:tcBorders>
              <w:left w:val="single" w:sz="4" w:space="0" w:color="auto"/>
              <w:bottom w:val="nil"/>
            </w:tcBorders>
            <w:vAlign w:val="bottom"/>
          </w:tcPr>
          <w:p w14:paraId="4450950B" w14:textId="21BB07E8" w:rsidR="00286159" w:rsidRPr="00286159" w:rsidRDefault="00286159" w:rsidP="00286159">
            <w:pPr>
              <w:spacing w:line="240" w:lineRule="auto"/>
              <w:ind w:left="252"/>
              <w:rPr>
                <w:rFonts w:cs="Arial"/>
                <w:bCs/>
                <w:sz w:val="20"/>
                <w:szCs w:val="20"/>
              </w:rPr>
            </w:pPr>
            <w:r w:rsidRPr="00286159">
              <w:rPr>
                <w:rFonts w:cs="Arial"/>
                <w:bCs/>
                <w:sz w:val="20"/>
                <w:szCs w:val="20"/>
                <w:u w:val="single"/>
              </w:rPr>
              <w:t>Anmerkung zu den Werten in Modul D</w:t>
            </w:r>
            <w:r w:rsidRPr="00286159">
              <w:rPr>
                <w:rFonts w:cs="Arial"/>
                <w:bCs/>
                <w:sz w:val="20"/>
                <w:szCs w:val="20"/>
              </w:rPr>
              <w:t xml:space="preserve">: Bei Szenario </w:t>
            </w:r>
            <w:r>
              <w:rPr>
                <w:rFonts w:cs="Arial"/>
                <w:bCs/>
                <w:sz w:val="20"/>
                <w:szCs w:val="20"/>
              </w:rPr>
              <w:t xml:space="preserve">1 </w:t>
            </w:r>
            <w:r w:rsidRPr="00286159">
              <w:rPr>
                <w:rFonts w:cs="Arial"/>
                <w:bCs/>
                <w:sz w:val="20"/>
                <w:szCs w:val="20"/>
              </w:rPr>
              <w:t>ist in der Regel mit einem schlechte</w:t>
            </w:r>
            <w:r>
              <w:rPr>
                <w:rFonts w:cs="Arial"/>
                <w:bCs/>
                <w:sz w:val="20"/>
                <w:szCs w:val="20"/>
              </w:rPr>
              <w:softHyphen/>
            </w:r>
            <w:r w:rsidRPr="00286159">
              <w:rPr>
                <w:rFonts w:cs="Arial"/>
                <w:bCs/>
                <w:sz w:val="20"/>
                <w:szCs w:val="20"/>
              </w:rPr>
              <w:t xml:space="preserve">ren Wirkungsgrad </w:t>
            </w:r>
            <w:r>
              <w:rPr>
                <w:rFonts w:cs="Arial"/>
                <w:bCs/>
                <w:sz w:val="20"/>
                <w:szCs w:val="20"/>
              </w:rPr>
              <w:t>der Energie</w:t>
            </w:r>
            <w:r w:rsidR="00933B79">
              <w:rPr>
                <w:rFonts w:cs="Arial"/>
                <w:bCs/>
                <w:sz w:val="20"/>
                <w:szCs w:val="20"/>
              </w:rPr>
              <w:softHyphen/>
            </w:r>
            <w:r>
              <w:rPr>
                <w:rFonts w:cs="Arial"/>
                <w:bCs/>
                <w:sz w:val="20"/>
                <w:szCs w:val="20"/>
              </w:rPr>
              <w:t>erzeugung als in Szenario 2 zu rechnen. Da kein entsprechen</w:t>
            </w:r>
            <w:r w:rsidR="00933B79">
              <w:rPr>
                <w:rFonts w:cs="Arial"/>
                <w:bCs/>
                <w:sz w:val="20"/>
                <w:szCs w:val="20"/>
              </w:rPr>
              <w:softHyphen/>
            </w:r>
            <w:r>
              <w:rPr>
                <w:rFonts w:cs="Arial"/>
                <w:bCs/>
                <w:sz w:val="20"/>
                <w:szCs w:val="20"/>
              </w:rPr>
              <w:t>der Datensatz für das Beispiel vorlag, wurden die Daten von Szenario 2 übernommen, um das Prinzip der Deklaration aufzuzeigen.</w:t>
            </w:r>
          </w:p>
        </w:tc>
      </w:tr>
      <w:tr w:rsidR="00286159" w:rsidRPr="003415EB" w14:paraId="753F8EB0" w14:textId="77777777" w:rsidTr="00286159">
        <w:trPr>
          <w:trHeight w:val="280"/>
        </w:trPr>
        <w:tc>
          <w:tcPr>
            <w:tcW w:w="2425" w:type="dxa"/>
            <w:tcBorders>
              <w:top w:val="nil"/>
              <w:left w:val="single" w:sz="4" w:space="0" w:color="auto"/>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4AF0AB6F" w14:textId="3B98BC20" w:rsidR="00286159" w:rsidRPr="003415EB" w:rsidRDefault="00286159" w:rsidP="00286159">
            <w:pPr>
              <w:rPr>
                <w:rFonts w:cs="Arial"/>
                <w:color w:val="000000"/>
                <w:sz w:val="20"/>
                <w:szCs w:val="20"/>
              </w:rPr>
            </w:pPr>
            <w:r w:rsidRPr="003415EB">
              <w:rPr>
                <w:rFonts w:cs="Arial"/>
                <w:color w:val="000000"/>
                <w:sz w:val="20"/>
                <w:szCs w:val="20"/>
              </w:rPr>
              <w:t>PERE [MJ]</w:t>
            </w:r>
          </w:p>
        </w:tc>
        <w:tc>
          <w:tcPr>
            <w:tcW w:w="1294"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0DED9DB7" w14:textId="6D75E972" w:rsidR="00286159" w:rsidRPr="003415EB" w:rsidRDefault="00286159" w:rsidP="00286159">
            <w:pPr>
              <w:jc w:val="right"/>
              <w:rPr>
                <w:rFonts w:cs="Arial"/>
                <w:color w:val="000000"/>
                <w:sz w:val="20"/>
                <w:szCs w:val="20"/>
              </w:rPr>
            </w:pPr>
            <w:r w:rsidRPr="003415EB">
              <w:rPr>
                <w:rFonts w:cs="Arial"/>
                <w:color w:val="000000"/>
                <w:sz w:val="20"/>
                <w:szCs w:val="20"/>
              </w:rPr>
              <w:t>4500</w:t>
            </w:r>
          </w:p>
        </w:tc>
        <w:tc>
          <w:tcPr>
            <w:tcW w:w="1390"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6FC82788" w14:textId="5F89A1BD" w:rsidR="00286159" w:rsidRPr="003415EB" w:rsidRDefault="00286159" w:rsidP="00286159">
            <w:pPr>
              <w:jc w:val="right"/>
              <w:rPr>
                <w:rFonts w:cs="Arial"/>
                <w:color w:val="000000"/>
                <w:sz w:val="20"/>
                <w:szCs w:val="20"/>
              </w:rPr>
            </w:pPr>
            <w:r w:rsidRPr="003415EB">
              <w:rPr>
                <w:rFonts w:cs="Arial"/>
                <w:color w:val="000000"/>
                <w:sz w:val="20"/>
                <w:szCs w:val="20"/>
              </w:rPr>
              <w:t>11008</w:t>
            </w:r>
          </w:p>
        </w:tc>
        <w:tc>
          <w:tcPr>
            <w:tcW w:w="1156"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6CA17321" w14:textId="3E0EBC15" w:rsidR="00286159" w:rsidRPr="003415EB" w:rsidRDefault="00286159" w:rsidP="00286159">
            <w:pPr>
              <w:jc w:val="right"/>
              <w:rPr>
                <w:rFonts w:cs="Arial"/>
                <w:color w:val="000000"/>
                <w:sz w:val="20"/>
                <w:szCs w:val="20"/>
              </w:rPr>
            </w:pPr>
            <w:r w:rsidRPr="00286159">
              <w:rPr>
                <w:rFonts w:cs="Arial"/>
                <w:sz w:val="20"/>
                <w:szCs w:val="20"/>
              </w:rPr>
              <w:t>-1650</w:t>
            </w:r>
          </w:p>
        </w:tc>
        <w:tc>
          <w:tcPr>
            <w:tcW w:w="2550" w:type="dxa"/>
            <w:gridSpan w:val="3"/>
            <w:vMerge/>
            <w:tcBorders>
              <w:left w:val="single" w:sz="4" w:space="0" w:color="auto"/>
            </w:tcBorders>
            <w:vAlign w:val="bottom"/>
          </w:tcPr>
          <w:p w14:paraId="6CB19F77" w14:textId="548BA738" w:rsidR="00286159" w:rsidRPr="00B81D02" w:rsidRDefault="00286159" w:rsidP="00286159">
            <w:pPr>
              <w:jc w:val="right"/>
              <w:rPr>
                <w:rFonts w:cs="Arial"/>
                <w:sz w:val="20"/>
                <w:szCs w:val="20"/>
              </w:rPr>
            </w:pPr>
          </w:p>
        </w:tc>
      </w:tr>
      <w:tr w:rsidR="00286159" w:rsidRPr="003415EB" w14:paraId="2A360598" w14:textId="77777777" w:rsidTr="00286159">
        <w:trPr>
          <w:trHeight w:val="280"/>
        </w:trPr>
        <w:tc>
          <w:tcPr>
            <w:tcW w:w="2425" w:type="dxa"/>
            <w:tcBorders>
              <w:top w:val="nil"/>
              <w:left w:val="single" w:sz="4" w:space="0" w:color="auto"/>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2251FCE3" w14:textId="56524519" w:rsidR="00286159" w:rsidRPr="003415EB" w:rsidRDefault="00286159" w:rsidP="00286159">
            <w:pPr>
              <w:rPr>
                <w:rFonts w:cs="Arial"/>
                <w:color w:val="000000"/>
                <w:sz w:val="20"/>
                <w:szCs w:val="20"/>
              </w:rPr>
            </w:pPr>
            <w:r w:rsidRPr="003415EB">
              <w:rPr>
                <w:rFonts w:cs="Arial"/>
                <w:color w:val="000000"/>
                <w:sz w:val="20"/>
                <w:szCs w:val="20"/>
              </w:rPr>
              <w:t>PERM [MJ]</w:t>
            </w:r>
          </w:p>
        </w:tc>
        <w:tc>
          <w:tcPr>
            <w:tcW w:w="1294"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3E5F4930" w14:textId="2D31B742" w:rsidR="00286159" w:rsidRPr="00B81D02" w:rsidRDefault="00286159" w:rsidP="00286159">
            <w:pPr>
              <w:jc w:val="right"/>
              <w:rPr>
                <w:rFonts w:cs="Arial"/>
                <w:b/>
                <w:color w:val="000000"/>
                <w:sz w:val="20"/>
                <w:szCs w:val="20"/>
              </w:rPr>
            </w:pPr>
            <w:r w:rsidRPr="00B81D02">
              <w:rPr>
                <w:rFonts w:cs="Arial"/>
                <w:b/>
                <w:color w:val="000000"/>
                <w:sz w:val="20"/>
                <w:szCs w:val="20"/>
              </w:rPr>
              <w:t>11000</w:t>
            </w:r>
          </w:p>
        </w:tc>
        <w:tc>
          <w:tcPr>
            <w:tcW w:w="1390"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68877D2B" w14:textId="67503D62" w:rsidR="00286159" w:rsidRPr="00B81D02" w:rsidRDefault="00286159" w:rsidP="00286159">
            <w:pPr>
              <w:jc w:val="right"/>
              <w:rPr>
                <w:rFonts w:cs="Arial"/>
                <w:b/>
                <w:color w:val="000000"/>
                <w:sz w:val="20"/>
                <w:szCs w:val="20"/>
              </w:rPr>
            </w:pPr>
            <w:r w:rsidRPr="00B81D02">
              <w:rPr>
                <w:rFonts w:cs="Arial"/>
                <w:b/>
                <w:color w:val="000000"/>
                <w:sz w:val="20"/>
                <w:szCs w:val="20"/>
              </w:rPr>
              <w:t>-11000</w:t>
            </w:r>
          </w:p>
        </w:tc>
        <w:tc>
          <w:tcPr>
            <w:tcW w:w="1156"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30D9C672" w14:textId="0C4FD3B6" w:rsidR="00286159" w:rsidRPr="00B81D02" w:rsidRDefault="00286159" w:rsidP="00286159">
            <w:pPr>
              <w:jc w:val="right"/>
              <w:rPr>
                <w:rFonts w:cs="Arial"/>
                <w:b/>
                <w:color w:val="000000"/>
                <w:sz w:val="20"/>
                <w:szCs w:val="20"/>
              </w:rPr>
            </w:pPr>
            <w:r w:rsidRPr="00286159">
              <w:rPr>
                <w:rFonts w:cs="Arial"/>
                <w:b/>
                <w:sz w:val="20"/>
                <w:szCs w:val="20"/>
              </w:rPr>
              <w:t>0</w:t>
            </w:r>
          </w:p>
        </w:tc>
        <w:tc>
          <w:tcPr>
            <w:tcW w:w="2550" w:type="dxa"/>
            <w:gridSpan w:val="3"/>
            <w:vMerge/>
            <w:tcBorders>
              <w:left w:val="single" w:sz="4" w:space="0" w:color="auto"/>
            </w:tcBorders>
            <w:vAlign w:val="bottom"/>
          </w:tcPr>
          <w:p w14:paraId="3C372292" w14:textId="5F08F1AF" w:rsidR="00286159" w:rsidRPr="00B81D02" w:rsidRDefault="00286159" w:rsidP="00286159">
            <w:pPr>
              <w:jc w:val="right"/>
              <w:rPr>
                <w:rFonts w:cs="Arial"/>
                <w:sz w:val="20"/>
                <w:szCs w:val="20"/>
              </w:rPr>
            </w:pPr>
          </w:p>
        </w:tc>
      </w:tr>
      <w:tr w:rsidR="00286159" w:rsidRPr="003415EB" w14:paraId="35848945" w14:textId="77777777" w:rsidTr="00286159">
        <w:trPr>
          <w:trHeight w:val="280"/>
        </w:trPr>
        <w:tc>
          <w:tcPr>
            <w:tcW w:w="2425" w:type="dxa"/>
            <w:tcBorders>
              <w:top w:val="nil"/>
              <w:left w:val="single" w:sz="4" w:space="0" w:color="auto"/>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758167CA" w14:textId="6D79B14D" w:rsidR="00286159" w:rsidRPr="003415EB" w:rsidRDefault="00286159" w:rsidP="00286159">
            <w:pPr>
              <w:rPr>
                <w:rFonts w:cs="Arial"/>
                <w:color w:val="000000"/>
                <w:sz w:val="20"/>
                <w:szCs w:val="20"/>
              </w:rPr>
            </w:pPr>
            <w:r w:rsidRPr="003415EB">
              <w:rPr>
                <w:rFonts w:cs="Arial"/>
                <w:color w:val="000000"/>
                <w:sz w:val="20"/>
                <w:szCs w:val="20"/>
              </w:rPr>
              <w:t>PERT [MJ]</w:t>
            </w:r>
          </w:p>
        </w:tc>
        <w:tc>
          <w:tcPr>
            <w:tcW w:w="1294"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0077ACD8" w14:textId="7093BC0C" w:rsidR="00286159" w:rsidRPr="003415EB" w:rsidRDefault="00286159" w:rsidP="00286159">
            <w:pPr>
              <w:jc w:val="right"/>
              <w:rPr>
                <w:rFonts w:cs="Arial"/>
                <w:color w:val="000000"/>
                <w:sz w:val="20"/>
                <w:szCs w:val="20"/>
              </w:rPr>
            </w:pPr>
            <w:r w:rsidRPr="003415EB">
              <w:rPr>
                <w:rFonts w:cs="Arial"/>
                <w:color w:val="000000"/>
                <w:sz w:val="20"/>
                <w:szCs w:val="20"/>
              </w:rPr>
              <w:t>15500</w:t>
            </w:r>
          </w:p>
        </w:tc>
        <w:tc>
          <w:tcPr>
            <w:tcW w:w="1390"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0A2E82B5" w14:textId="6EA219E8" w:rsidR="00286159" w:rsidRPr="003415EB" w:rsidRDefault="00286159" w:rsidP="00286159">
            <w:pPr>
              <w:jc w:val="right"/>
              <w:rPr>
                <w:rFonts w:cs="Arial"/>
                <w:color w:val="000000"/>
                <w:sz w:val="20"/>
                <w:szCs w:val="20"/>
              </w:rPr>
            </w:pPr>
            <w:r w:rsidRPr="003415EB">
              <w:rPr>
                <w:rFonts w:cs="Arial"/>
                <w:color w:val="000000"/>
                <w:sz w:val="20"/>
                <w:szCs w:val="20"/>
              </w:rPr>
              <w:t>8</w:t>
            </w:r>
          </w:p>
        </w:tc>
        <w:tc>
          <w:tcPr>
            <w:tcW w:w="1156"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355921FD" w14:textId="5BC8DBBB" w:rsidR="00286159" w:rsidRPr="003415EB" w:rsidRDefault="00286159" w:rsidP="00286159">
            <w:pPr>
              <w:jc w:val="right"/>
              <w:rPr>
                <w:rFonts w:cs="Arial"/>
                <w:color w:val="000000"/>
                <w:sz w:val="20"/>
                <w:szCs w:val="20"/>
              </w:rPr>
            </w:pPr>
            <w:r w:rsidRPr="00286159">
              <w:rPr>
                <w:rFonts w:cs="Arial"/>
                <w:sz w:val="20"/>
                <w:szCs w:val="20"/>
              </w:rPr>
              <w:t>-1650</w:t>
            </w:r>
          </w:p>
        </w:tc>
        <w:tc>
          <w:tcPr>
            <w:tcW w:w="2550" w:type="dxa"/>
            <w:gridSpan w:val="3"/>
            <w:vMerge/>
            <w:tcBorders>
              <w:left w:val="single" w:sz="4" w:space="0" w:color="auto"/>
            </w:tcBorders>
            <w:vAlign w:val="bottom"/>
          </w:tcPr>
          <w:p w14:paraId="4FACDC19" w14:textId="2685B0AB" w:rsidR="00286159" w:rsidRPr="00B81D02" w:rsidRDefault="00286159" w:rsidP="00286159">
            <w:pPr>
              <w:jc w:val="right"/>
              <w:rPr>
                <w:rFonts w:cs="Arial"/>
                <w:sz w:val="20"/>
                <w:szCs w:val="20"/>
              </w:rPr>
            </w:pPr>
          </w:p>
        </w:tc>
      </w:tr>
      <w:tr w:rsidR="00286159" w:rsidRPr="003415EB" w14:paraId="42E33BDC" w14:textId="77777777" w:rsidTr="00286159">
        <w:trPr>
          <w:trHeight w:val="280"/>
        </w:trPr>
        <w:tc>
          <w:tcPr>
            <w:tcW w:w="2425" w:type="dxa"/>
            <w:tcBorders>
              <w:top w:val="nil"/>
              <w:left w:val="single" w:sz="4" w:space="0" w:color="auto"/>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3892DBE8" w14:textId="43A277EA" w:rsidR="00286159" w:rsidRPr="003415EB" w:rsidRDefault="00286159" w:rsidP="00286159">
            <w:pPr>
              <w:rPr>
                <w:rFonts w:cs="Arial"/>
                <w:color w:val="000000"/>
                <w:sz w:val="20"/>
                <w:szCs w:val="20"/>
              </w:rPr>
            </w:pPr>
            <w:r w:rsidRPr="003415EB">
              <w:rPr>
                <w:rFonts w:cs="Arial"/>
                <w:color w:val="000000"/>
                <w:sz w:val="20"/>
                <w:szCs w:val="20"/>
              </w:rPr>
              <w:t>PENRE [MJ]</w:t>
            </w:r>
          </w:p>
        </w:tc>
        <w:tc>
          <w:tcPr>
            <w:tcW w:w="1294"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750B23D4" w14:textId="4ADF23D3" w:rsidR="00286159" w:rsidRPr="003415EB" w:rsidRDefault="00286159" w:rsidP="00286159">
            <w:pPr>
              <w:jc w:val="right"/>
              <w:rPr>
                <w:rFonts w:cs="Arial"/>
                <w:color w:val="000000"/>
                <w:sz w:val="20"/>
                <w:szCs w:val="20"/>
              </w:rPr>
            </w:pPr>
            <w:r w:rsidRPr="003415EB">
              <w:rPr>
                <w:rFonts w:cs="Arial"/>
                <w:color w:val="000000"/>
                <w:sz w:val="20"/>
                <w:szCs w:val="20"/>
              </w:rPr>
              <w:t>3485</w:t>
            </w:r>
          </w:p>
        </w:tc>
        <w:tc>
          <w:tcPr>
            <w:tcW w:w="1390"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476A5FF8" w14:textId="6D6E2AFE" w:rsidR="00286159" w:rsidRPr="003415EB" w:rsidRDefault="00286159" w:rsidP="00286159">
            <w:pPr>
              <w:jc w:val="right"/>
              <w:rPr>
                <w:rFonts w:cs="Arial"/>
                <w:color w:val="000000"/>
                <w:sz w:val="20"/>
                <w:szCs w:val="20"/>
              </w:rPr>
            </w:pPr>
            <w:r w:rsidRPr="003415EB">
              <w:rPr>
                <w:rFonts w:cs="Arial"/>
                <w:color w:val="000000"/>
                <w:sz w:val="20"/>
                <w:szCs w:val="20"/>
              </w:rPr>
              <w:t>658</w:t>
            </w:r>
          </w:p>
        </w:tc>
        <w:tc>
          <w:tcPr>
            <w:tcW w:w="1156"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56F092EC" w14:textId="36744E35" w:rsidR="00286159" w:rsidRPr="003415EB" w:rsidRDefault="00286159" w:rsidP="00286159">
            <w:pPr>
              <w:jc w:val="right"/>
              <w:rPr>
                <w:rFonts w:cs="Arial"/>
                <w:color w:val="000000"/>
                <w:sz w:val="20"/>
                <w:szCs w:val="20"/>
              </w:rPr>
            </w:pPr>
            <w:r w:rsidRPr="00286159">
              <w:rPr>
                <w:rFonts w:cs="Arial"/>
                <w:sz w:val="20"/>
                <w:szCs w:val="20"/>
              </w:rPr>
              <w:t>-5960</w:t>
            </w:r>
          </w:p>
        </w:tc>
        <w:tc>
          <w:tcPr>
            <w:tcW w:w="2550" w:type="dxa"/>
            <w:gridSpan w:val="3"/>
            <w:vMerge/>
            <w:tcBorders>
              <w:left w:val="single" w:sz="4" w:space="0" w:color="auto"/>
            </w:tcBorders>
            <w:vAlign w:val="bottom"/>
          </w:tcPr>
          <w:p w14:paraId="6CF9B6B5" w14:textId="60B4D04C" w:rsidR="00286159" w:rsidRPr="00B81D02" w:rsidRDefault="00286159" w:rsidP="00286159">
            <w:pPr>
              <w:jc w:val="right"/>
              <w:rPr>
                <w:rFonts w:cs="Arial"/>
                <w:sz w:val="20"/>
                <w:szCs w:val="20"/>
              </w:rPr>
            </w:pPr>
          </w:p>
        </w:tc>
      </w:tr>
      <w:tr w:rsidR="00286159" w:rsidRPr="003415EB" w14:paraId="114EFE18" w14:textId="77777777" w:rsidTr="00286159">
        <w:trPr>
          <w:trHeight w:val="280"/>
        </w:trPr>
        <w:tc>
          <w:tcPr>
            <w:tcW w:w="2425" w:type="dxa"/>
            <w:tcBorders>
              <w:top w:val="nil"/>
              <w:left w:val="single" w:sz="4" w:space="0" w:color="auto"/>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227C3560" w14:textId="26E90B84" w:rsidR="00286159" w:rsidRPr="003415EB" w:rsidRDefault="00286159" w:rsidP="00286159">
            <w:pPr>
              <w:rPr>
                <w:rFonts w:cs="Arial"/>
                <w:color w:val="000000"/>
                <w:sz w:val="20"/>
                <w:szCs w:val="20"/>
              </w:rPr>
            </w:pPr>
            <w:r w:rsidRPr="003415EB">
              <w:rPr>
                <w:rFonts w:cs="Arial"/>
                <w:color w:val="000000"/>
                <w:sz w:val="20"/>
                <w:szCs w:val="20"/>
              </w:rPr>
              <w:t>PENRM [MJ]</w:t>
            </w:r>
          </w:p>
        </w:tc>
        <w:tc>
          <w:tcPr>
            <w:tcW w:w="1294"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12185E2C" w14:textId="556B8CA3" w:rsidR="00286159" w:rsidRPr="00B81D02" w:rsidRDefault="00286159" w:rsidP="00286159">
            <w:pPr>
              <w:jc w:val="right"/>
              <w:rPr>
                <w:rFonts w:cs="Arial"/>
                <w:b/>
                <w:color w:val="000000"/>
                <w:sz w:val="20"/>
                <w:szCs w:val="20"/>
              </w:rPr>
            </w:pPr>
            <w:r w:rsidRPr="00B81D02">
              <w:rPr>
                <w:rFonts w:cs="Arial"/>
                <w:b/>
                <w:color w:val="000000"/>
                <w:sz w:val="20"/>
                <w:szCs w:val="20"/>
              </w:rPr>
              <w:t>645</w:t>
            </w:r>
          </w:p>
        </w:tc>
        <w:tc>
          <w:tcPr>
            <w:tcW w:w="1390"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4BE17D99" w14:textId="19FF2036" w:rsidR="00286159" w:rsidRPr="00B81D02" w:rsidRDefault="00286159" w:rsidP="00286159">
            <w:pPr>
              <w:jc w:val="right"/>
              <w:rPr>
                <w:rFonts w:cs="Arial"/>
                <w:b/>
                <w:color w:val="000000"/>
                <w:sz w:val="20"/>
                <w:szCs w:val="20"/>
              </w:rPr>
            </w:pPr>
            <w:r w:rsidRPr="00B81D02">
              <w:rPr>
                <w:rFonts w:cs="Arial"/>
                <w:b/>
                <w:color w:val="000000"/>
                <w:sz w:val="20"/>
                <w:szCs w:val="20"/>
              </w:rPr>
              <w:t>-645</w:t>
            </w:r>
          </w:p>
        </w:tc>
        <w:tc>
          <w:tcPr>
            <w:tcW w:w="1156"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249C3897" w14:textId="6B8366AB" w:rsidR="00286159" w:rsidRPr="00B81D02" w:rsidRDefault="00286159" w:rsidP="00286159">
            <w:pPr>
              <w:jc w:val="right"/>
              <w:rPr>
                <w:rFonts w:cs="Arial"/>
                <w:b/>
                <w:color w:val="000000"/>
                <w:sz w:val="20"/>
                <w:szCs w:val="20"/>
              </w:rPr>
            </w:pPr>
            <w:r w:rsidRPr="00286159">
              <w:rPr>
                <w:rFonts w:cs="Arial"/>
                <w:b/>
                <w:sz w:val="20"/>
                <w:szCs w:val="20"/>
              </w:rPr>
              <w:t>0</w:t>
            </w:r>
          </w:p>
        </w:tc>
        <w:tc>
          <w:tcPr>
            <w:tcW w:w="2550" w:type="dxa"/>
            <w:gridSpan w:val="3"/>
            <w:vMerge/>
            <w:tcBorders>
              <w:left w:val="single" w:sz="4" w:space="0" w:color="auto"/>
            </w:tcBorders>
            <w:vAlign w:val="bottom"/>
          </w:tcPr>
          <w:p w14:paraId="7390B3CF" w14:textId="43FB8FDF" w:rsidR="00286159" w:rsidRPr="00B81D02" w:rsidRDefault="00286159" w:rsidP="00286159">
            <w:pPr>
              <w:jc w:val="right"/>
              <w:rPr>
                <w:rFonts w:cs="Arial"/>
                <w:sz w:val="20"/>
                <w:szCs w:val="20"/>
              </w:rPr>
            </w:pPr>
          </w:p>
        </w:tc>
      </w:tr>
      <w:tr w:rsidR="00286159" w:rsidRPr="003415EB" w14:paraId="1EB81148" w14:textId="77777777" w:rsidTr="00286159">
        <w:trPr>
          <w:trHeight w:val="280"/>
        </w:trPr>
        <w:tc>
          <w:tcPr>
            <w:tcW w:w="2425" w:type="dxa"/>
            <w:tcBorders>
              <w:top w:val="nil"/>
              <w:left w:val="single" w:sz="4" w:space="0" w:color="auto"/>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1E7695CB" w14:textId="2B06B106" w:rsidR="00286159" w:rsidRPr="003415EB" w:rsidRDefault="00286159" w:rsidP="00286159">
            <w:pPr>
              <w:rPr>
                <w:rFonts w:cs="Arial"/>
                <w:color w:val="000000"/>
                <w:sz w:val="20"/>
                <w:szCs w:val="20"/>
              </w:rPr>
            </w:pPr>
            <w:r w:rsidRPr="003415EB">
              <w:rPr>
                <w:rFonts w:cs="Arial"/>
                <w:color w:val="000000"/>
                <w:sz w:val="20"/>
                <w:szCs w:val="20"/>
              </w:rPr>
              <w:t>PENRT [MJ]</w:t>
            </w:r>
          </w:p>
        </w:tc>
        <w:tc>
          <w:tcPr>
            <w:tcW w:w="1294"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465D53A1" w14:textId="3AC1F33E" w:rsidR="00286159" w:rsidRPr="003415EB" w:rsidRDefault="00286159" w:rsidP="00286159">
            <w:pPr>
              <w:jc w:val="right"/>
              <w:rPr>
                <w:rFonts w:cs="Arial"/>
                <w:color w:val="000000"/>
                <w:sz w:val="20"/>
                <w:szCs w:val="20"/>
              </w:rPr>
            </w:pPr>
            <w:r w:rsidRPr="003415EB">
              <w:rPr>
                <w:rFonts w:cs="Arial"/>
                <w:color w:val="000000"/>
                <w:sz w:val="20"/>
                <w:szCs w:val="20"/>
              </w:rPr>
              <w:t>4130</w:t>
            </w:r>
          </w:p>
        </w:tc>
        <w:tc>
          <w:tcPr>
            <w:tcW w:w="1390"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055E1AE3" w14:textId="3D9D76FA" w:rsidR="00286159" w:rsidRPr="003415EB" w:rsidRDefault="00286159" w:rsidP="00286159">
            <w:pPr>
              <w:jc w:val="right"/>
              <w:rPr>
                <w:rFonts w:cs="Arial"/>
                <w:color w:val="000000"/>
                <w:sz w:val="20"/>
                <w:szCs w:val="20"/>
              </w:rPr>
            </w:pPr>
            <w:r w:rsidRPr="003415EB">
              <w:rPr>
                <w:rFonts w:cs="Arial"/>
                <w:color w:val="000000"/>
                <w:sz w:val="20"/>
                <w:szCs w:val="20"/>
              </w:rPr>
              <w:t>13</w:t>
            </w:r>
          </w:p>
        </w:tc>
        <w:tc>
          <w:tcPr>
            <w:tcW w:w="1156"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063A3050" w14:textId="5CEA2C69" w:rsidR="00286159" w:rsidRPr="003415EB" w:rsidRDefault="00286159" w:rsidP="00286159">
            <w:pPr>
              <w:jc w:val="right"/>
              <w:rPr>
                <w:rFonts w:cs="Arial"/>
                <w:color w:val="000000"/>
                <w:sz w:val="20"/>
                <w:szCs w:val="20"/>
              </w:rPr>
            </w:pPr>
            <w:r w:rsidRPr="00286159">
              <w:rPr>
                <w:rFonts w:cs="Arial"/>
                <w:sz w:val="20"/>
                <w:szCs w:val="20"/>
              </w:rPr>
              <w:t>-5960</w:t>
            </w:r>
          </w:p>
        </w:tc>
        <w:tc>
          <w:tcPr>
            <w:tcW w:w="2550" w:type="dxa"/>
            <w:gridSpan w:val="3"/>
            <w:vMerge/>
            <w:tcBorders>
              <w:left w:val="single" w:sz="4" w:space="0" w:color="auto"/>
            </w:tcBorders>
            <w:vAlign w:val="bottom"/>
          </w:tcPr>
          <w:p w14:paraId="5C0DF68B" w14:textId="1FEF1B6C" w:rsidR="00286159" w:rsidRPr="00B81D02" w:rsidRDefault="00286159" w:rsidP="00286159">
            <w:pPr>
              <w:jc w:val="right"/>
              <w:rPr>
                <w:rFonts w:cs="Arial"/>
                <w:sz w:val="20"/>
                <w:szCs w:val="20"/>
              </w:rPr>
            </w:pPr>
          </w:p>
        </w:tc>
      </w:tr>
      <w:tr w:rsidR="00286159" w:rsidRPr="003415EB" w14:paraId="060C552C" w14:textId="77777777" w:rsidTr="00286159">
        <w:trPr>
          <w:trHeight w:val="280"/>
        </w:trPr>
        <w:tc>
          <w:tcPr>
            <w:tcW w:w="2425" w:type="dxa"/>
            <w:tcBorders>
              <w:top w:val="nil"/>
              <w:left w:val="single" w:sz="4" w:space="0" w:color="auto"/>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167BC862" w14:textId="1EB69EF3" w:rsidR="00286159" w:rsidRPr="003415EB" w:rsidRDefault="00286159" w:rsidP="00286159">
            <w:pPr>
              <w:rPr>
                <w:rFonts w:cs="Arial"/>
                <w:color w:val="000000"/>
                <w:sz w:val="20"/>
                <w:szCs w:val="20"/>
              </w:rPr>
            </w:pPr>
            <w:r w:rsidRPr="003415EB">
              <w:rPr>
                <w:rFonts w:cs="Arial"/>
                <w:color w:val="000000"/>
                <w:sz w:val="20"/>
                <w:szCs w:val="20"/>
              </w:rPr>
              <w:t>Biogener Kohlenstoff [CO2-</w:t>
            </w:r>
            <w:r>
              <w:rPr>
                <w:rFonts w:cs="Arial"/>
                <w:color w:val="000000"/>
                <w:sz w:val="20"/>
                <w:szCs w:val="20"/>
              </w:rPr>
              <w:t>eq</w:t>
            </w:r>
            <w:r w:rsidRPr="003415EB">
              <w:rPr>
                <w:rFonts w:cs="Arial"/>
                <w:color w:val="000000"/>
                <w:sz w:val="20"/>
                <w:szCs w:val="20"/>
              </w:rPr>
              <w:t>]</w:t>
            </w:r>
          </w:p>
        </w:tc>
        <w:tc>
          <w:tcPr>
            <w:tcW w:w="1294"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25C3072F" w14:textId="5EFC8BD8" w:rsidR="00286159" w:rsidRPr="00B81D02" w:rsidRDefault="00286159" w:rsidP="00286159">
            <w:pPr>
              <w:jc w:val="right"/>
              <w:rPr>
                <w:rFonts w:cs="Arial"/>
                <w:b/>
                <w:color w:val="000000"/>
                <w:sz w:val="20"/>
                <w:szCs w:val="20"/>
              </w:rPr>
            </w:pPr>
            <w:r w:rsidRPr="00B81D02">
              <w:rPr>
                <w:rFonts w:cs="Arial"/>
                <w:b/>
                <w:color w:val="000000"/>
                <w:sz w:val="20"/>
                <w:szCs w:val="20"/>
              </w:rPr>
              <w:t>-1063</w:t>
            </w:r>
          </w:p>
        </w:tc>
        <w:tc>
          <w:tcPr>
            <w:tcW w:w="1390"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45F756AA" w14:textId="198DC6D2" w:rsidR="00286159" w:rsidRPr="00B81D02" w:rsidRDefault="00286159" w:rsidP="00286159">
            <w:pPr>
              <w:jc w:val="right"/>
              <w:rPr>
                <w:rFonts w:cs="Arial"/>
                <w:b/>
                <w:color w:val="000000"/>
                <w:sz w:val="20"/>
                <w:szCs w:val="20"/>
              </w:rPr>
            </w:pPr>
            <w:r w:rsidRPr="00B81D02">
              <w:rPr>
                <w:rFonts w:cs="Arial"/>
                <w:b/>
                <w:color w:val="000000"/>
                <w:sz w:val="20"/>
                <w:szCs w:val="20"/>
              </w:rPr>
              <w:t>1063</w:t>
            </w:r>
          </w:p>
        </w:tc>
        <w:tc>
          <w:tcPr>
            <w:tcW w:w="1156"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3CC48143" w14:textId="6F112899" w:rsidR="00286159" w:rsidRPr="00B81D02" w:rsidRDefault="00286159" w:rsidP="00286159">
            <w:pPr>
              <w:jc w:val="right"/>
              <w:rPr>
                <w:rFonts w:cs="Arial"/>
                <w:b/>
                <w:color w:val="000000"/>
                <w:sz w:val="20"/>
                <w:szCs w:val="20"/>
              </w:rPr>
            </w:pPr>
            <w:r w:rsidRPr="00286159">
              <w:rPr>
                <w:rFonts w:cs="Arial"/>
                <w:b/>
                <w:sz w:val="20"/>
                <w:szCs w:val="20"/>
              </w:rPr>
              <w:t>0</w:t>
            </w:r>
          </w:p>
        </w:tc>
        <w:tc>
          <w:tcPr>
            <w:tcW w:w="2550" w:type="dxa"/>
            <w:gridSpan w:val="3"/>
            <w:vMerge/>
            <w:tcBorders>
              <w:left w:val="single" w:sz="4" w:space="0" w:color="auto"/>
            </w:tcBorders>
            <w:vAlign w:val="bottom"/>
          </w:tcPr>
          <w:p w14:paraId="75E24F62" w14:textId="699A79B0" w:rsidR="00286159" w:rsidRPr="00B81D02" w:rsidRDefault="00286159" w:rsidP="00286159">
            <w:pPr>
              <w:jc w:val="right"/>
              <w:rPr>
                <w:rFonts w:cs="Arial"/>
                <w:sz w:val="20"/>
                <w:szCs w:val="20"/>
              </w:rPr>
            </w:pPr>
          </w:p>
        </w:tc>
      </w:tr>
      <w:tr w:rsidR="00286159" w:rsidRPr="003415EB" w14:paraId="73D505B2" w14:textId="77777777" w:rsidTr="00286159">
        <w:trPr>
          <w:trHeight w:val="280"/>
        </w:trPr>
        <w:tc>
          <w:tcPr>
            <w:tcW w:w="2425" w:type="dxa"/>
            <w:tcBorders>
              <w:top w:val="nil"/>
              <w:left w:val="single" w:sz="4" w:space="0" w:color="auto"/>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222C221F" w14:textId="3DC7B80C" w:rsidR="00286159" w:rsidRPr="003415EB" w:rsidRDefault="00286159" w:rsidP="00286159">
            <w:pPr>
              <w:rPr>
                <w:rFonts w:cs="Arial"/>
                <w:color w:val="000000"/>
                <w:sz w:val="20"/>
                <w:szCs w:val="20"/>
              </w:rPr>
            </w:pPr>
            <w:r w:rsidRPr="003415EB">
              <w:rPr>
                <w:rFonts w:cs="Arial"/>
                <w:color w:val="000000"/>
                <w:sz w:val="20"/>
                <w:szCs w:val="20"/>
              </w:rPr>
              <w:t xml:space="preserve">GWP total </w:t>
            </w:r>
            <w:r>
              <w:rPr>
                <w:rFonts w:cs="Arial"/>
                <w:color w:val="000000"/>
                <w:sz w:val="20"/>
                <w:szCs w:val="20"/>
              </w:rPr>
              <w:t>[CO2-eq</w:t>
            </w:r>
            <w:r w:rsidRPr="003415EB">
              <w:rPr>
                <w:rFonts w:cs="Arial"/>
                <w:color w:val="000000"/>
                <w:sz w:val="20"/>
                <w:szCs w:val="20"/>
              </w:rPr>
              <w:t>]</w:t>
            </w:r>
          </w:p>
        </w:tc>
        <w:tc>
          <w:tcPr>
            <w:tcW w:w="1294"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1225CE64" w14:textId="01F9621F" w:rsidR="00286159" w:rsidRPr="003415EB" w:rsidRDefault="00286159" w:rsidP="00286159">
            <w:pPr>
              <w:jc w:val="right"/>
              <w:rPr>
                <w:rFonts w:cs="Arial"/>
                <w:color w:val="000000"/>
                <w:sz w:val="20"/>
                <w:szCs w:val="20"/>
              </w:rPr>
            </w:pPr>
            <w:r w:rsidRPr="003415EB">
              <w:rPr>
                <w:rFonts w:cs="Arial"/>
                <w:color w:val="000000"/>
                <w:sz w:val="20"/>
                <w:szCs w:val="20"/>
              </w:rPr>
              <w:t>-812</w:t>
            </w:r>
          </w:p>
        </w:tc>
        <w:tc>
          <w:tcPr>
            <w:tcW w:w="1390"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4F6B7E9C" w14:textId="5735E494" w:rsidR="00286159" w:rsidRPr="003415EB" w:rsidRDefault="00286159" w:rsidP="00286159">
            <w:pPr>
              <w:jc w:val="right"/>
              <w:rPr>
                <w:rFonts w:cs="Arial"/>
                <w:color w:val="000000"/>
                <w:sz w:val="20"/>
                <w:szCs w:val="20"/>
              </w:rPr>
            </w:pPr>
            <w:r w:rsidRPr="003415EB">
              <w:rPr>
                <w:rFonts w:cs="Arial"/>
                <w:color w:val="000000"/>
                <w:sz w:val="20"/>
                <w:szCs w:val="20"/>
              </w:rPr>
              <w:t>1155</w:t>
            </w:r>
          </w:p>
        </w:tc>
        <w:tc>
          <w:tcPr>
            <w:tcW w:w="1156" w:type="dxa"/>
            <w:tcBorders>
              <w:top w:val="nil"/>
              <w:left w:val="nil"/>
              <w:bottom w:val="single" w:sz="4" w:space="0" w:color="auto"/>
              <w:right w:val="single" w:sz="4" w:space="0" w:color="auto"/>
            </w:tcBorders>
            <w:shd w:val="clear" w:color="auto" w:fill="FDE9D9" w:themeFill="accent6" w:themeFillTint="33"/>
            <w:noWrap/>
            <w:tcMar>
              <w:top w:w="15" w:type="dxa"/>
              <w:left w:w="15" w:type="dxa"/>
              <w:bottom w:w="0" w:type="dxa"/>
              <w:right w:w="15" w:type="dxa"/>
            </w:tcMar>
            <w:vAlign w:val="bottom"/>
          </w:tcPr>
          <w:p w14:paraId="69E50DEC" w14:textId="498ED526" w:rsidR="00286159" w:rsidRPr="003415EB" w:rsidRDefault="00286159" w:rsidP="00286159">
            <w:pPr>
              <w:jc w:val="right"/>
              <w:rPr>
                <w:rFonts w:cs="Arial"/>
                <w:color w:val="000000"/>
                <w:sz w:val="20"/>
                <w:szCs w:val="20"/>
              </w:rPr>
            </w:pPr>
            <w:r w:rsidRPr="00286159">
              <w:rPr>
                <w:rFonts w:cs="Arial"/>
                <w:sz w:val="20"/>
                <w:szCs w:val="20"/>
              </w:rPr>
              <w:t>-650</w:t>
            </w:r>
          </w:p>
        </w:tc>
        <w:tc>
          <w:tcPr>
            <w:tcW w:w="2550" w:type="dxa"/>
            <w:gridSpan w:val="3"/>
            <w:vMerge/>
            <w:tcBorders>
              <w:left w:val="single" w:sz="4" w:space="0" w:color="auto"/>
            </w:tcBorders>
            <w:vAlign w:val="bottom"/>
          </w:tcPr>
          <w:p w14:paraId="2E61AA75" w14:textId="0F1D1181" w:rsidR="00286159" w:rsidRPr="00B81D02" w:rsidRDefault="00286159" w:rsidP="00286159">
            <w:pPr>
              <w:jc w:val="right"/>
              <w:rPr>
                <w:rFonts w:cs="Arial"/>
                <w:sz w:val="20"/>
                <w:szCs w:val="20"/>
              </w:rPr>
            </w:pPr>
          </w:p>
        </w:tc>
      </w:tr>
      <w:tr w:rsidR="00286159" w:rsidRPr="00AE1C12" w14:paraId="31F3A20A" w14:textId="77777777" w:rsidTr="00286159">
        <w:trPr>
          <w:gridAfter w:val="3"/>
          <w:wAfter w:w="2550" w:type="dxa"/>
          <w:trHeight w:val="113"/>
        </w:trPr>
        <w:tc>
          <w:tcPr>
            <w:tcW w:w="2425"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0C10D30" w14:textId="77777777" w:rsidR="00286159" w:rsidRPr="00AE1C12" w:rsidRDefault="00286159" w:rsidP="00286159">
            <w:pPr>
              <w:spacing w:line="240" w:lineRule="auto"/>
              <w:rPr>
                <w:rFonts w:cs="Arial"/>
                <w:color w:val="000000"/>
                <w:sz w:val="16"/>
                <w:szCs w:val="16"/>
              </w:rPr>
            </w:pPr>
            <w:r w:rsidRPr="00AE1C12">
              <w:rPr>
                <w:rFonts w:cs="Arial"/>
                <w:color w:val="000000"/>
                <w:sz w:val="16"/>
                <w:szCs w:val="16"/>
              </w:rPr>
              <w:t> </w:t>
            </w:r>
          </w:p>
        </w:tc>
        <w:tc>
          <w:tcPr>
            <w:tcW w:w="12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923AFF9" w14:textId="77777777" w:rsidR="00286159" w:rsidRPr="00AE1C12" w:rsidRDefault="00286159" w:rsidP="00286159">
            <w:pPr>
              <w:spacing w:line="240" w:lineRule="auto"/>
              <w:rPr>
                <w:rFonts w:cs="Arial"/>
                <w:color w:val="000000"/>
                <w:sz w:val="16"/>
                <w:szCs w:val="16"/>
              </w:rPr>
            </w:pPr>
            <w:r w:rsidRPr="00AE1C12">
              <w:rPr>
                <w:rFonts w:cs="Arial"/>
                <w:color w:val="000000"/>
                <w:sz w:val="16"/>
                <w:szCs w:val="16"/>
              </w:rPr>
              <w:t> </w:t>
            </w:r>
          </w:p>
        </w:tc>
        <w:tc>
          <w:tcPr>
            <w:tcW w:w="139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922AC83" w14:textId="77777777" w:rsidR="00286159" w:rsidRPr="00AE1C12" w:rsidRDefault="00286159" w:rsidP="00286159">
            <w:pPr>
              <w:spacing w:line="240" w:lineRule="auto"/>
              <w:rPr>
                <w:rFonts w:cs="Arial"/>
                <w:color w:val="000000"/>
                <w:sz w:val="16"/>
                <w:szCs w:val="16"/>
              </w:rPr>
            </w:pPr>
            <w:r w:rsidRPr="00AE1C12">
              <w:rPr>
                <w:rFonts w:cs="Arial"/>
                <w:color w:val="000000"/>
                <w:sz w:val="16"/>
                <w:szCs w:val="16"/>
              </w:rPr>
              <w:t> </w:t>
            </w:r>
          </w:p>
        </w:tc>
        <w:tc>
          <w:tcPr>
            <w:tcW w:w="1156"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240FB41" w14:textId="77777777" w:rsidR="00286159" w:rsidRPr="00AE1C12" w:rsidRDefault="00286159" w:rsidP="00286159">
            <w:pPr>
              <w:spacing w:line="240" w:lineRule="auto"/>
              <w:rPr>
                <w:rFonts w:cs="Arial"/>
                <w:color w:val="000000"/>
                <w:sz w:val="16"/>
                <w:szCs w:val="16"/>
              </w:rPr>
            </w:pPr>
            <w:r w:rsidRPr="00AE1C12">
              <w:rPr>
                <w:rFonts w:cs="Arial"/>
                <w:color w:val="000000"/>
                <w:sz w:val="16"/>
                <w:szCs w:val="16"/>
              </w:rPr>
              <w:t> </w:t>
            </w:r>
          </w:p>
        </w:tc>
      </w:tr>
      <w:tr w:rsidR="00286159" w:rsidRPr="003415EB" w14:paraId="067CF0DE" w14:textId="77777777" w:rsidTr="00286159">
        <w:trPr>
          <w:gridAfter w:val="3"/>
          <w:wAfter w:w="2550" w:type="dxa"/>
          <w:trHeight w:val="280"/>
        </w:trPr>
        <w:tc>
          <w:tcPr>
            <w:tcW w:w="2425" w:type="dxa"/>
            <w:tcBorders>
              <w:top w:val="single" w:sz="4" w:space="0" w:color="auto"/>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6A9C20AA" w14:textId="77777777" w:rsidR="00286159" w:rsidRPr="003415EB" w:rsidRDefault="00286159" w:rsidP="00286159">
            <w:pPr>
              <w:rPr>
                <w:rFonts w:cs="Arial"/>
                <w:color w:val="000000"/>
                <w:sz w:val="20"/>
                <w:szCs w:val="20"/>
              </w:rPr>
            </w:pPr>
            <w:r w:rsidRPr="003415EB">
              <w:rPr>
                <w:rFonts w:cs="Arial"/>
                <w:b/>
                <w:bCs/>
                <w:color w:val="000000"/>
                <w:sz w:val="20"/>
                <w:szCs w:val="20"/>
              </w:rPr>
              <w:t>Szenario 2 Energierückgewinnung</w:t>
            </w:r>
          </w:p>
        </w:tc>
        <w:tc>
          <w:tcPr>
            <w:tcW w:w="1294" w:type="dxa"/>
            <w:tcBorders>
              <w:top w:val="single" w:sz="4" w:space="0" w:color="auto"/>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029DFB18" w14:textId="77777777" w:rsidR="00286159" w:rsidRPr="00B81D02" w:rsidRDefault="00286159" w:rsidP="00286159">
            <w:pPr>
              <w:jc w:val="center"/>
              <w:rPr>
                <w:rFonts w:cs="Arial"/>
                <w:b/>
                <w:color w:val="000000"/>
                <w:sz w:val="20"/>
                <w:szCs w:val="20"/>
              </w:rPr>
            </w:pPr>
            <w:r w:rsidRPr="00B81D02">
              <w:rPr>
                <w:rFonts w:cs="Arial"/>
                <w:b/>
                <w:color w:val="000000"/>
                <w:sz w:val="20"/>
                <w:szCs w:val="20"/>
              </w:rPr>
              <w:t>A1-A3</w:t>
            </w:r>
          </w:p>
        </w:tc>
        <w:tc>
          <w:tcPr>
            <w:tcW w:w="1390" w:type="dxa"/>
            <w:tcBorders>
              <w:top w:val="single" w:sz="4" w:space="0" w:color="auto"/>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01B67953" w14:textId="77777777" w:rsidR="00286159" w:rsidRPr="00B81D02" w:rsidRDefault="00286159" w:rsidP="00286159">
            <w:pPr>
              <w:jc w:val="center"/>
              <w:rPr>
                <w:rFonts w:cs="Arial"/>
                <w:b/>
                <w:color w:val="000000"/>
                <w:sz w:val="20"/>
                <w:szCs w:val="20"/>
              </w:rPr>
            </w:pPr>
            <w:r w:rsidRPr="00B81D02">
              <w:rPr>
                <w:rFonts w:cs="Arial"/>
                <w:b/>
                <w:color w:val="000000"/>
                <w:sz w:val="20"/>
                <w:szCs w:val="20"/>
              </w:rPr>
              <w:t>C3</w:t>
            </w:r>
          </w:p>
        </w:tc>
        <w:tc>
          <w:tcPr>
            <w:tcW w:w="1156" w:type="dxa"/>
            <w:tcBorders>
              <w:top w:val="single" w:sz="4" w:space="0" w:color="auto"/>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50592212" w14:textId="77777777" w:rsidR="00286159" w:rsidRPr="00B81D02" w:rsidRDefault="00286159" w:rsidP="00286159">
            <w:pPr>
              <w:jc w:val="center"/>
              <w:rPr>
                <w:rFonts w:cs="Arial"/>
                <w:b/>
                <w:color w:val="000000"/>
                <w:sz w:val="20"/>
                <w:szCs w:val="20"/>
              </w:rPr>
            </w:pPr>
            <w:r w:rsidRPr="00B81D02">
              <w:rPr>
                <w:rFonts w:cs="Arial"/>
                <w:b/>
                <w:color w:val="000000"/>
                <w:sz w:val="20"/>
                <w:szCs w:val="20"/>
              </w:rPr>
              <w:t>D</w:t>
            </w:r>
          </w:p>
        </w:tc>
      </w:tr>
      <w:tr w:rsidR="00286159" w:rsidRPr="003415EB" w14:paraId="04B4FB72" w14:textId="77777777" w:rsidTr="00286159">
        <w:trPr>
          <w:gridAfter w:val="3"/>
          <w:wAfter w:w="2550" w:type="dxa"/>
          <w:trHeight w:val="280"/>
        </w:trPr>
        <w:tc>
          <w:tcPr>
            <w:tcW w:w="2425" w:type="dxa"/>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023128CD" w14:textId="77777777" w:rsidR="00286159" w:rsidRPr="003415EB" w:rsidRDefault="00286159" w:rsidP="00286159">
            <w:pPr>
              <w:rPr>
                <w:rFonts w:cs="Arial"/>
                <w:color w:val="000000"/>
                <w:sz w:val="20"/>
                <w:szCs w:val="20"/>
              </w:rPr>
            </w:pPr>
            <w:r w:rsidRPr="003415EB">
              <w:rPr>
                <w:rFonts w:cs="Arial"/>
                <w:color w:val="000000"/>
                <w:sz w:val="20"/>
                <w:szCs w:val="20"/>
              </w:rPr>
              <w:t>PERE [MJ]</w:t>
            </w:r>
          </w:p>
        </w:tc>
        <w:tc>
          <w:tcPr>
            <w:tcW w:w="1294"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32F70422" w14:textId="77777777" w:rsidR="00286159" w:rsidRPr="003415EB" w:rsidRDefault="00286159" w:rsidP="00286159">
            <w:pPr>
              <w:jc w:val="right"/>
              <w:rPr>
                <w:rFonts w:cs="Arial"/>
                <w:color w:val="000000"/>
                <w:sz w:val="20"/>
                <w:szCs w:val="20"/>
              </w:rPr>
            </w:pPr>
            <w:r w:rsidRPr="003415EB">
              <w:rPr>
                <w:rFonts w:cs="Arial"/>
                <w:color w:val="000000"/>
                <w:sz w:val="20"/>
                <w:szCs w:val="20"/>
              </w:rPr>
              <w:t>4500</w:t>
            </w:r>
          </w:p>
        </w:tc>
        <w:tc>
          <w:tcPr>
            <w:tcW w:w="139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49666704" w14:textId="77777777" w:rsidR="00286159" w:rsidRPr="003415EB" w:rsidRDefault="00286159" w:rsidP="00286159">
            <w:pPr>
              <w:jc w:val="right"/>
              <w:rPr>
                <w:rFonts w:cs="Arial"/>
                <w:color w:val="000000"/>
                <w:sz w:val="20"/>
                <w:szCs w:val="20"/>
              </w:rPr>
            </w:pPr>
            <w:r w:rsidRPr="003415EB">
              <w:rPr>
                <w:rFonts w:cs="Arial"/>
                <w:color w:val="000000"/>
                <w:sz w:val="20"/>
                <w:szCs w:val="20"/>
              </w:rPr>
              <w:t>11008</w:t>
            </w:r>
          </w:p>
        </w:tc>
        <w:tc>
          <w:tcPr>
            <w:tcW w:w="1156"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788AED0D" w14:textId="77777777" w:rsidR="00286159" w:rsidRPr="003415EB" w:rsidRDefault="00286159" w:rsidP="00286159">
            <w:pPr>
              <w:jc w:val="right"/>
              <w:rPr>
                <w:rFonts w:cs="Arial"/>
                <w:color w:val="000000"/>
                <w:sz w:val="20"/>
                <w:szCs w:val="20"/>
              </w:rPr>
            </w:pPr>
            <w:r w:rsidRPr="003415EB">
              <w:rPr>
                <w:rFonts w:cs="Arial"/>
                <w:color w:val="000000"/>
                <w:sz w:val="20"/>
                <w:szCs w:val="20"/>
              </w:rPr>
              <w:t>-1650</w:t>
            </w:r>
          </w:p>
        </w:tc>
      </w:tr>
      <w:tr w:rsidR="00286159" w:rsidRPr="003415EB" w14:paraId="4492433D" w14:textId="77777777" w:rsidTr="00286159">
        <w:trPr>
          <w:gridAfter w:val="3"/>
          <w:wAfter w:w="2550" w:type="dxa"/>
          <w:trHeight w:val="280"/>
        </w:trPr>
        <w:tc>
          <w:tcPr>
            <w:tcW w:w="2425" w:type="dxa"/>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2E1EF14C" w14:textId="77777777" w:rsidR="00286159" w:rsidRPr="003415EB" w:rsidRDefault="00286159" w:rsidP="00286159">
            <w:pPr>
              <w:rPr>
                <w:rFonts w:cs="Arial"/>
                <w:color w:val="000000"/>
                <w:sz w:val="20"/>
                <w:szCs w:val="20"/>
              </w:rPr>
            </w:pPr>
            <w:r w:rsidRPr="003415EB">
              <w:rPr>
                <w:rFonts w:cs="Arial"/>
                <w:color w:val="000000"/>
                <w:sz w:val="20"/>
                <w:szCs w:val="20"/>
              </w:rPr>
              <w:t>PERM [MJ]</w:t>
            </w:r>
          </w:p>
        </w:tc>
        <w:tc>
          <w:tcPr>
            <w:tcW w:w="1294"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741BC2E1" w14:textId="77777777" w:rsidR="00286159" w:rsidRPr="00B81D02" w:rsidRDefault="00286159" w:rsidP="00286159">
            <w:pPr>
              <w:jc w:val="right"/>
              <w:rPr>
                <w:rFonts w:cs="Arial"/>
                <w:b/>
                <w:color w:val="000000"/>
                <w:sz w:val="20"/>
                <w:szCs w:val="20"/>
              </w:rPr>
            </w:pPr>
            <w:r w:rsidRPr="00B81D02">
              <w:rPr>
                <w:rFonts w:cs="Arial"/>
                <w:b/>
                <w:color w:val="000000"/>
                <w:sz w:val="20"/>
                <w:szCs w:val="20"/>
              </w:rPr>
              <w:t>11000</w:t>
            </w:r>
          </w:p>
        </w:tc>
        <w:tc>
          <w:tcPr>
            <w:tcW w:w="139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68101C82" w14:textId="77777777" w:rsidR="00286159" w:rsidRPr="00B81D02" w:rsidRDefault="00286159" w:rsidP="00286159">
            <w:pPr>
              <w:jc w:val="right"/>
              <w:rPr>
                <w:rFonts w:cs="Arial"/>
                <w:b/>
                <w:color w:val="000000"/>
                <w:sz w:val="20"/>
                <w:szCs w:val="20"/>
              </w:rPr>
            </w:pPr>
            <w:r w:rsidRPr="00B81D02">
              <w:rPr>
                <w:rFonts w:cs="Arial"/>
                <w:b/>
                <w:color w:val="000000"/>
                <w:sz w:val="20"/>
                <w:szCs w:val="20"/>
              </w:rPr>
              <w:t>-11000</w:t>
            </w:r>
          </w:p>
        </w:tc>
        <w:tc>
          <w:tcPr>
            <w:tcW w:w="1156"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4D22A149" w14:textId="77777777" w:rsidR="00286159" w:rsidRPr="00B81D02" w:rsidRDefault="00286159" w:rsidP="00286159">
            <w:pPr>
              <w:jc w:val="right"/>
              <w:rPr>
                <w:rFonts w:cs="Arial"/>
                <w:b/>
                <w:color w:val="000000"/>
                <w:sz w:val="20"/>
                <w:szCs w:val="20"/>
              </w:rPr>
            </w:pPr>
            <w:r w:rsidRPr="00B81D02">
              <w:rPr>
                <w:rFonts w:cs="Arial"/>
                <w:b/>
                <w:color w:val="000000"/>
                <w:sz w:val="20"/>
                <w:szCs w:val="20"/>
              </w:rPr>
              <w:t>0</w:t>
            </w:r>
          </w:p>
        </w:tc>
      </w:tr>
      <w:tr w:rsidR="00286159" w:rsidRPr="003415EB" w14:paraId="13BF3553" w14:textId="77777777" w:rsidTr="00286159">
        <w:trPr>
          <w:gridAfter w:val="3"/>
          <w:wAfter w:w="2550" w:type="dxa"/>
          <w:trHeight w:val="280"/>
        </w:trPr>
        <w:tc>
          <w:tcPr>
            <w:tcW w:w="2425" w:type="dxa"/>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3A2A4D35" w14:textId="77777777" w:rsidR="00286159" w:rsidRPr="003415EB" w:rsidRDefault="00286159" w:rsidP="00286159">
            <w:pPr>
              <w:rPr>
                <w:rFonts w:cs="Arial"/>
                <w:color w:val="000000"/>
                <w:sz w:val="20"/>
                <w:szCs w:val="20"/>
              </w:rPr>
            </w:pPr>
            <w:r w:rsidRPr="003415EB">
              <w:rPr>
                <w:rFonts w:cs="Arial"/>
                <w:color w:val="000000"/>
                <w:sz w:val="20"/>
                <w:szCs w:val="20"/>
              </w:rPr>
              <w:t>PERT [MJ]</w:t>
            </w:r>
          </w:p>
        </w:tc>
        <w:tc>
          <w:tcPr>
            <w:tcW w:w="1294"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03E0C020" w14:textId="77777777" w:rsidR="00286159" w:rsidRPr="003415EB" w:rsidRDefault="00286159" w:rsidP="00286159">
            <w:pPr>
              <w:jc w:val="right"/>
              <w:rPr>
                <w:rFonts w:cs="Arial"/>
                <w:color w:val="000000"/>
                <w:sz w:val="20"/>
                <w:szCs w:val="20"/>
              </w:rPr>
            </w:pPr>
            <w:r w:rsidRPr="003415EB">
              <w:rPr>
                <w:rFonts w:cs="Arial"/>
                <w:color w:val="000000"/>
                <w:sz w:val="20"/>
                <w:szCs w:val="20"/>
              </w:rPr>
              <w:t>15500</w:t>
            </w:r>
          </w:p>
        </w:tc>
        <w:tc>
          <w:tcPr>
            <w:tcW w:w="139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6037453E" w14:textId="77777777" w:rsidR="00286159" w:rsidRPr="003415EB" w:rsidRDefault="00286159" w:rsidP="00286159">
            <w:pPr>
              <w:jc w:val="right"/>
              <w:rPr>
                <w:rFonts w:cs="Arial"/>
                <w:color w:val="000000"/>
                <w:sz w:val="20"/>
                <w:szCs w:val="20"/>
              </w:rPr>
            </w:pPr>
            <w:r w:rsidRPr="003415EB">
              <w:rPr>
                <w:rFonts w:cs="Arial"/>
                <w:color w:val="000000"/>
                <w:sz w:val="20"/>
                <w:szCs w:val="20"/>
              </w:rPr>
              <w:t>8</w:t>
            </w:r>
          </w:p>
        </w:tc>
        <w:tc>
          <w:tcPr>
            <w:tcW w:w="1156"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43684F83" w14:textId="77777777" w:rsidR="00286159" w:rsidRPr="003415EB" w:rsidRDefault="00286159" w:rsidP="00286159">
            <w:pPr>
              <w:jc w:val="right"/>
              <w:rPr>
                <w:rFonts w:cs="Arial"/>
                <w:color w:val="000000"/>
                <w:sz w:val="20"/>
                <w:szCs w:val="20"/>
              </w:rPr>
            </w:pPr>
            <w:r w:rsidRPr="003415EB">
              <w:rPr>
                <w:rFonts w:cs="Arial"/>
                <w:color w:val="000000"/>
                <w:sz w:val="20"/>
                <w:szCs w:val="20"/>
              </w:rPr>
              <w:t>-1650</w:t>
            </w:r>
          </w:p>
        </w:tc>
      </w:tr>
      <w:tr w:rsidR="00286159" w:rsidRPr="003415EB" w14:paraId="0CF6C43D" w14:textId="77777777" w:rsidTr="00286159">
        <w:trPr>
          <w:gridAfter w:val="3"/>
          <w:wAfter w:w="2550" w:type="dxa"/>
          <w:trHeight w:val="280"/>
        </w:trPr>
        <w:tc>
          <w:tcPr>
            <w:tcW w:w="2425" w:type="dxa"/>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296D77BD" w14:textId="77777777" w:rsidR="00286159" w:rsidRPr="003415EB" w:rsidRDefault="00286159" w:rsidP="00286159">
            <w:pPr>
              <w:rPr>
                <w:rFonts w:cs="Arial"/>
                <w:color w:val="000000"/>
                <w:sz w:val="20"/>
                <w:szCs w:val="20"/>
              </w:rPr>
            </w:pPr>
            <w:r w:rsidRPr="003415EB">
              <w:rPr>
                <w:rFonts w:cs="Arial"/>
                <w:color w:val="000000"/>
                <w:sz w:val="20"/>
                <w:szCs w:val="20"/>
              </w:rPr>
              <w:t>PENRE [MJ]</w:t>
            </w:r>
          </w:p>
        </w:tc>
        <w:tc>
          <w:tcPr>
            <w:tcW w:w="1294"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6797452E" w14:textId="77777777" w:rsidR="00286159" w:rsidRPr="003415EB" w:rsidRDefault="00286159" w:rsidP="00286159">
            <w:pPr>
              <w:jc w:val="right"/>
              <w:rPr>
                <w:rFonts w:cs="Arial"/>
                <w:color w:val="000000"/>
                <w:sz w:val="20"/>
                <w:szCs w:val="20"/>
              </w:rPr>
            </w:pPr>
            <w:r w:rsidRPr="003415EB">
              <w:rPr>
                <w:rFonts w:cs="Arial"/>
                <w:color w:val="000000"/>
                <w:sz w:val="20"/>
                <w:szCs w:val="20"/>
              </w:rPr>
              <w:t>3485</w:t>
            </w:r>
          </w:p>
        </w:tc>
        <w:tc>
          <w:tcPr>
            <w:tcW w:w="139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3145E668" w14:textId="77777777" w:rsidR="00286159" w:rsidRPr="003415EB" w:rsidRDefault="00286159" w:rsidP="00286159">
            <w:pPr>
              <w:jc w:val="right"/>
              <w:rPr>
                <w:rFonts w:cs="Arial"/>
                <w:color w:val="000000"/>
                <w:sz w:val="20"/>
                <w:szCs w:val="20"/>
              </w:rPr>
            </w:pPr>
            <w:r w:rsidRPr="003415EB">
              <w:rPr>
                <w:rFonts w:cs="Arial"/>
                <w:color w:val="000000"/>
                <w:sz w:val="20"/>
                <w:szCs w:val="20"/>
              </w:rPr>
              <w:t>658</w:t>
            </w:r>
          </w:p>
        </w:tc>
        <w:tc>
          <w:tcPr>
            <w:tcW w:w="1156"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61A4DE73" w14:textId="77777777" w:rsidR="00286159" w:rsidRPr="003415EB" w:rsidRDefault="00286159" w:rsidP="00286159">
            <w:pPr>
              <w:jc w:val="right"/>
              <w:rPr>
                <w:rFonts w:cs="Arial"/>
                <w:color w:val="000000"/>
                <w:sz w:val="20"/>
                <w:szCs w:val="20"/>
              </w:rPr>
            </w:pPr>
            <w:r w:rsidRPr="003415EB">
              <w:rPr>
                <w:rFonts w:cs="Arial"/>
                <w:color w:val="000000"/>
                <w:sz w:val="20"/>
                <w:szCs w:val="20"/>
              </w:rPr>
              <w:t>-5960</w:t>
            </w:r>
          </w:p>
        </w:tc>
      </w:tr>
      <w:tr w:rsidR="00286159" w:rsidRPr="003415EB" w14:paraId="38E3BC85" w14:textId="77777777" w:rsidTr="00286159">
        <w:trPr>
          <w:gridAfter w:val="3"/>
          <w:wAfter w:w="2550" w:type="dxa"/>
          <w:trHeight w:val="280"/>
        </w:trPr>
        <w:tc>
          <w:tcPr>
            <w:tcW w:w="2425" w:type="dxa"/>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71D2FF32" w14:textId="77777777" w:rsidR="00286159" w:rsidRPr="003415EB" w:rsidRDefault="00286159" w:rsidP="00286159">
            <w:pPr>
              <w:rPr>
                <w:rFonts w:cs="Arial"/>
                <w:color w:val="000000"/>
                <w:sz w:val="20"/>
                <w:szCs w:val="20"/>
              </w:rPr>
            </w:pPr>
            <w:r w:rsidRPr="003415EB">
              <w:rPr>
                <w:rFonts w:cs="Arial"/>
                <w:color w:val="000000"/>
                <w:sz w:val="20"/>
                <w:szCs w:val="20"/>
              </w:rPr>
              <w:t>PENRM [MJ]</w:t>
            </w:r>
          </w:p>
        </w:tc>
        <w:tc>
          <w:tcPr>
            <w:tcW w:w="1294"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4695135B" w14:textId="77777777" w:rsidR="00286159" w:rsidRPr="00B81D02" w:rsidRDefault="00286159" w:rsidP="00286159">
            <w:pPr>
              <w:jc w:val="right"/>
              <w:rPr>
                <w:rFonts w:cs="Arial"/>
                <w:b/>
                <w:color w:val="000000"/>
                <w:sz w:val="20"/>
                <w:szCs w:val="20"/>
              </w:rPr>
            </w:pPr>
            <w:r w:rsidRPr="00B81D02">
              <w:rPr>
                <w:rFonts w:cs="Arial"/>
                <w:b/>
                <w:color w:val="000000"/>
                <w:sz w:val="20"/>
                <w:szCs w:val="20"/>
              </w:rPr>
              <w:t>645</w:t>
            </w:r>
          </w:p>
        </w:tc>
        <w:tc>
          <w:tcPr>
            <w:tcW w:w="139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60145D01" w14:textId="77777777" w:rsidR="00286159" w:rsidRPr="00B81D02" w:rsidRDefault="00286159" w:rsidP="00286159">
            <w:pPr>
              <w:jc w:val="right"/>
              <w:rPr>
                <w:rFonts w:cs="Arial"/>
                <w:b/>
                <w:color w:val="000000"/>
                <w:sz w:val="20"/>
                <w:szCs w:val="20"/>
              </w:rPr>
            </w:pPr>
            <w:r w:rsidRPr="00B81D02">
              <w:rPr>
                <w:rFonts w:cs="Arial"/>
                <w:b/>
                <w:color w:val="000000"/>
                <w:sz w:val="20"/>
                <w:szCs w:val="20"/>
              </w:rPr>
              <w:t>-645</w:t>
            </w:r>
          </w:p>
        </w:tc>
        <w:tc>
          <w:tcPr>
            <w:tcW w:w="1156"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0840CC21" w14:textId="77777777" w:rsidR="00286159" w:rsidRPr="00B81D02" w:rsidRDefault="00286159" w:rsidP="00286159">
            <w:pPr>
              <w:jc w:val="right"/>
              <w:rPr>
                <w:rFonts w:cs="Arial"/>
                <w:b/>
                <w:color w:val="000000"/>
                <w:sz w:val="20"/>
                <w:szCs w:val="20"/>
              </w:rPr>
            </w:pPr>
            <w:r w:rsidRPr="00B81D02">
              <w:rPr>
                <w:rFonts w:cs="Arial"/>
                <w:b/>
                <w:color w:val="000000"/>
                <w:sz w:val="20"/>
                <w:szCs w:val="20"/>
              </w:rPr>
              <w:t>0</w:t>
            </w:r>
          </w:p>
        </w:tc>
      </w:tr>
      <w:tr w:rsidR="00286159" w:rsidRPr="003415EB" w14:paraId="55CE3459" w14:textId="77777777" w:rsidTr="00286159">
        <w:trPr>
          <w:gridAfter w:val="3"/>
          <w:wAfter w:w="2550" w:type="dxa"/>
          <w:trHeight w:val="280"/>
        </w:trPr>
        <w:tc>
          <w:tcPr>
            <w:tcW w:w="2425" w:type="dxa"/>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13C40C71" w14:textId="77777777" w:rsidR="00286159" w:rsidRPr="003415EB" w:rsidRDefault="00286159" w:rsidP="00286159">
            <w:pPr>
              <w:rPr>
                <w:rFonts w:cs="Arial"/>
                <w:color w:val="000000"/>
                <w:sz w:val="20"/>
                <w:szCs w:val="20"/>
              </w:rPr>
            </w:pPr>
            <w:r w:rsidRPr="003415EB">
              <w:rPr>
                <w:rFonts w:cs="Arial"/>
                <w:color w:val="000000"/>
                <w:sz w:val="20"/>
                <w:szCs w:val="20"/>
              </w:rPr>
              <w:t>PENRT [MJ]</w:t>
            </w:r>
          </w:p>
        </w:tc>
        <w:tc>
          <w:tcPr>
            <w:tcW w:w="1294"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631E0186" w14:textId="77777777" w:rsidR="00286159" w:rsidRPr="003415EB" w:rsidRDefault="00286159" w:rsidP="00286159">
            <w:pPr>
              <w:jc w:val="right"/>
              <w:rPr>
                <w:rFonts w:cs="Arial"/>
                <w:color w:val="000000"/>
                <w:sz w:val="20"/>
                <w:szCs w:val="20"/>
              </w:rPr>
            </w:pPr>
            <w:r w:rsidRPr="003415EB">
              <w:rPr>
                <w:rFonts w:cs="Arial"/>
                <w:color w:val="000000"/>
                <w:sz w:val="20"/>
                <w:szCs w:val="20"/>
              </w:rPr>
              <w:t>4130</w:t>
            </w:r>
          </w:p>
        </w:tc>
        <w:tc>
          <w:tcPr>
            <w:tcW w:w="139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112D4D8C" w14:textId="77777777" w:rsidR="00286159" w:rsidRPr="003415EB" w:rsidRDefault="00286159" w:rsidP="00286159">
            <w:pPr>
              <w:jc w:val="right"/>
              <w:rPr>
                <w:rFonts w:cs="Arial"/>
                <w:color w:val="000000"/>
                <w:sz w:val="20"/>
                <w:szCs w:val="20"/>
              </w:rPr>
            </w:pPr>
            <w:r w:rsidRPr="003415EB">
              <w:rPr>
                <w:rFonts w:cs="Arial"/>
                <w:color w:val="000000"/>
                <w:sz w:val="20"/>
                <w:szCs w:val="20"/>
              </w:rPr>
              <w:t>13</w:t>
            </w:r>
          </w:p>
        </w:tc>
        <w:tc>
          <w:tcPr>
            <w:tcW w:w="1156"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12049B80" w14:textId="77777777" w:rsidR="00286159" w:rsidRPr="003415EB" w:rsidRDefault="00286159" w:rsidP="00286159">
            <w:pPr>
              <w:jc w:val="right"/>
              <w:rPr>
                <w:rFonts w:cs="Arial"/>
                <w:color w:val="000000"/>
                <w:sz w:val="20"/>
                <w:szCs w:val="20"/>
              </w:rPr>
            </w:pPr>
            <w:r w:rsidRPr="003415EB">
              <w:rPr>
                <w:rFonts w:cs="Arial"/>
                <w:color w:val="000000"/>
                <w:sz w:val="20"/>
                <w:szCs w:val="20"/>
              </w:rPr>
              <w:t>-5960</w:t>
            </w:r>
          </w:p>
        </w:tc>
      </w:tr>
      <w:tr w:rsidR="00286159" w:rsidRPr="003415EB" w14:paraId="371CA73E" w14:textId="77777777" w:rsidTr="00286159">
        <w:trPr>
          <w:gridAfter w:val="3"/>
          <w:wAfter w:w="2550" w:type="dxa"/>
          <w:trHeight w:val="280"/>
        </w:trPr>
        <w:tc>
          <w:tcPr>
            <w:tcW w:w="2425" w:type="dxa"/>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62BB12AC" w14:textId="77777777" w:rsidR="00286159" w:rsidRPr="003415EB" w:rsidRDefault="00286159" w:rsidP="00286159">
            <w:pPr>
              <w:rPr>
                <w:rFonts w:cs="Arial"/>
                <w:color w:val="000000"/>
                <w:sz w:val="20"/>
                <w:szCs w:val="20"/>
              </w:rPr>
            </w:pPr>
            <w:r w:rsidRPr="003415EB">
              <w:rPr>
                <w:rFonts w:cs="Arial"/>
                <w:color w:val="000000"/>
                <w:sz w:val="20"/>
                <w:szCs w:val="20"/>
              </w:rPr>
              <w:t>Biogener Kohlenstoff [CO2-</w:t>
            </w:r>
            <w:r>
              <w:rPr>
                <w:rFonts w:cs="Arial"/>
                <w:color w:val="000000"/>
                <w:sz w:val="20"/>
                <w:szCs w:val="20"/>
              </w:rPr>
              <w:t>eq</w:t>
            </w:r>
            <w:r w:rsidRPr="003415EB">
              <w:rPr>
                <w:rFonts w:cs="Arial"/>
                <w:color w:val="000000"/>
                <w:sz w:val="20"/>
                <w:szCs w:val="20"/>
              </w:rPr>
              <w:t>]</w:t>
            </w:r>
          </w:p>
        </w:tc>
        <w:tc>
          <w:tcPr>
            <w:tcW w:w="1294"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3DC8303E" w14:textId="77777777" w:rsidR="00286159" w:rsidRPr="00B81D02" w:rsidRDefault="00286159" w:rsidP="00286159">
            <w:pPr>
              <w:jc w:val="right"/>
              <w:rPr>
                <w:rFonts w:cs="Arial"/>
                <w:b/>
                <w:color w:val="000000"/>
                <w:sz w:val="20"/>
                <w:szCs w:val="20"/>
              </w:rPr>
            </w:pPr>
            <w:r w:rsidRPr="00B81D02">
              <w:rPr>
                <w:rFonts w:cs="Arial"/>
                <w:b/>
                <w:color w:val="000000"/>
                <w:sz w:val="20"/>
                <w:szCs w:val="20"/>
              </w:rPr>
              <w:t>-1063</w:t>
            </w:r>
          </w:p>
        </w:tc>
        <w:tc>
          <w:tcPr>
            <w:tcW w:w="139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43EF999C" w14:textId="77777777" w:rsidR="00286159" w:rsidRPr="00B81D02" w:rsidRDefault="00286159" w:rsidP="00286159">
            <w:pPr>
              <w:jc w:val="right"/>
              <w:rPr>
                <w:rFonts w:cs="Arial"/>
                <w:b/>
                <w:color w:val="000000"/>
                <w:sz w:val="20"/>
                <w:szCs w:val="20"/>
              </w:rPr>
            </w:pPr>
            <w:r w:rsidRPr="00B81D02">
              <w:rPr>
                <w:rFonts w:cs="Arial"/>
                <w:b/>
                <w:color w:val="000000"/>
                <w:sz w:val="20"/>
                <w:szCs w:val="20"/>
              </w:rPr>
              <w:t>1063</w:t>
            </w:r>
          </w:p>
        </w:tc>
        <w:tc>
          <w:tcPr>
            <w:tcW w:w="1156"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59E4BC67" w14:textId="77777777" w:rsidR="00286159" w:rsidRPr="00B81D02" w:rsidRDefault="00286159" w:rsidP="00286159">
            <w:pPr>
              <w:jc w:val="right"/>
              <w:rPr>
                <w:rFonts w:cs="Arial"/>
                <w:b/>
                <w:color w:val="000000"/>
                <w:sz w:val="20"/>
                <w:szCs w:val="20"/>
              </w:rPr>
            </w:pPr>
            <w:r w:rsidRPr="00B81D02">
              <w:rPr>
                <w:rFonts w:cs="Arial"/>
                <w:b/>
                <w:color w:val="000000"/>
                <w:sz w:val="20"/>
                <w:szCs w:val="20"/>
              </w:rPr>
              <w:t>0</w:t>
            </w:r>
          </w:p>
        </w:tc>
      </w:tr>
      <w:tr w:rsidR="00286159" w:rsidRPr="003415EB" w14:paraId="752954B9" w14:textId="77777777" w:rsidTr="00286159">
        <w:trPr>
          <w:gridAfter w:val="3"/>
          <w:wAfter w:w="2550" w:type="dxa"/>
          <w:trHeight w:val="280"/>
        </w:trPr>
        <w:tc>
          <w:tcPr>
            <w:tcW w:w="2425" w:type="dxa"/>
            <w:tcBorders>
              <w:top w:val="nil"/>
              <w:left w:val="single" w:sz="4" w:space="0" w:color="auto"/>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6148B79C" w14:textId="31EC6B65" w:rsidR="00286159" w:rsidRPr="003415EB" w:rsidRDefault="00286159" w:rsidP="00286159">
            <w:pPr>
              <w:rPr>
                <w:rFonts w:cs="Arial"/>
                <w:color w:val="000000"/>
                <w:sz w:val="20"/>
                <w:szCs w:val="20"/>
              </w:rPr>
            </w:pPr>
            <w:r w:rsidRPr="003415EB">
              <w:rPr>
                <w:rFonts w:cs="Arial"/>
                <w:color w:val="000000"/>
                <w:sz w:val="20"/>
                <w:szCs w:val="20"/>
              </w:rPr>
              <w:t>GWP total [CO2-</w:t>
            </w:r>
            <w:r>
              <w:rPr>
                <w:rFonts w:cs="Arial"/>
                <w:color w:val="000000"/>
                <w:sz w:val="20"/>
                <w:szCs w:val="20"/>
              </w:rPr>
              <w:t>eq</w:t>
            </w:r>
            <w:r w:rsidRPr="003415EB">
              <w:rPr>
                <w:rFonts w:cs="Arial"/>
                <w:color w:val="000000"/>
                <w:sz w:val="20"/>
                <w:szCs w:val="20"/>
              </w:rPr>
              <w:t>]</w:t>
            </w:r>
          </w:p>
        </w:tc>
        <w:tc>
          <w:tcPr>
            <w:tcW w:w="1294"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3DB8BD74" w14:textId="77777777" w:rsidR="00286159" w:rsidRPr="003415EB" w:rsidRDefault="00286159" w:rsidP="00286159">
            <w:pPr>
              <w:jc w:val="right"/>
              <w:rPr>
                <w:rFonts w:cs="Arial"/>
                <w:color w:val="000000"/>
                <w:sz w:val="20"/>
                <w:szCs w:val="20"/>
              </w:rPr>
            </w:pPr>
            <w:r w:rsidRPr="003415EB">
              <w:rPr>
                <w:rFonts w:cs="Arial"/>
                <w:color w:val="000000"/>
                <w:sz w:val="20"/>
                <w:szCs w:val="20"/>
              </w:rPr>
              <w:t>-812</w:t>
            </w:r>
          </w:p>
        </w:tc>
        <w:tc>
          <w:tcPr>
            <w:tcW w:w="1390"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7348E68D" w14:textId="77777777" w:rsidR="00286159" w:rsidRPr="003415EB" w:rsidRDefault="00286159" w:rsidP="00286159">
            <w:pPr>
              <w:jc w:val="right"/>
              <w:rPr>
                <w:rFonts w:cs="Arial"/>
                <w:color w:val="000000"/>
                <w:sz w:val="20"/>
                <w:szCs w:val="20"/>
              </w:rPr>
            </w:pPr>
            <w:r w:rsidRPr="003415EB">
              <w:rPr>
                <w:rFonts w:cs="Arial"/>
                <w:color w:val="000000"/>
                <w:sz w:val="20"/>
                <w:szCs w:val="20"/>
              </w:rPr>
              <w:t>1155</w:t>
            </w:r>
          </w:p>
        </w:tc>
        <w:tc>
          <w:tcPr>
            <w:tcW w:w="1156" w:type="dxa"/>
            <w:tcBorders>
              <w:top w:val="nil"/>
              <w:left w:val="nil"/>
              <w:bottom w:val="single" w:sz="4" w:space="0" w:color="auto"/>
              <w:right w:val="single" w:sz="4" w:space="0" w:color="auto"/>
            </w:tcBorders>
            <w:shd w:val="clear" w:color="000000" w:fill="FFFF00"/>
            <w:noWrap/>
            <w:tcMar>
              <w:top w:w="15" w:type="dxa"/>
              <w:left w:w="15" w:type="dxa"/>
              <w:bottom w:w="0" w:type="dxa"/>
              <w:right w:w="15" w:type="dxa"/>
            </w:tcMar>
            <w:vAlign w:val="bottom"/>
            <w:hideMark/>
          </w:tcPr>
          <w:p w14:paraId="4EC1A024" w14:textId="77777777" w:rsidR="00286159" w:rsidRPr="003415EB" w:rsidRDefault="00286159" w:rsidP="00286159">
            <w:pPr>
              <w:jc w:val="right"/>
              <w:rPr>
                <w:rFonts w:cs="Arial"/>
                <w:color w:val="000000"/>
                <w:sz w:val="20"/>
                <w:szCs w:val="20"/>
              </w:rPr>
            </w:pPr>
            <w:r w:rsidRPr="003415EB">
              <w:rPr>
                <w:rFonts w:cs="Arial"/>
                <w:color w:val="000000"/>
                <w:sz w:val="20"/>
                <w:szCs w:val="20"/>
              </w:rPr>
              <w:t>-650</w:t>
            </w:r>
          </w:p>
        </w:tc>
      </w:tr>
      <w:tr w:rsidR="00286159" w:rsidRPr="00AE1C12" w14:paraId="755C7DC4" w14:textId="77777777" w:rsidTr="00286159">
        <w:trPr>
          <w:gridAfter w:val="3"/>
          <w:wAfter w:w="2550" w:type="dxa"/>
        </w:trPr>
        <w:tc>
          <w:tcPr>
            <w:tcW w:w="2425"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DA440A1" w14:textId="77777777" w:rsidR="00286159" w:rsidRPr="00AE1C12" w:rsidRDefault="00286159" w:rsidP="00286159">
            <w:pPr>
              <w:spacing w:line="240" w:lineRule="auto"/>
              <w:rPr>
                <w:rFonts w:cs="Arial"/>
                <w:color w:val="000000"/>
                <w:sz w:val="16"/>
                <w:szCs w:val="16"/>
              </w:rPr>
            </w:pPr>
            <w:r w:rsidRPr="00AE1C12">
              <w:rPr>
                <w:rFonts w:cs="Arial"/>
                <w:color w:val="000000"/>
                <w:sz w:val="16"/>
                <w:szCs w:val="16"/>
              </w:rPr>
              <w:t> </w:t>
            </w:r>
          </w:p>
        </w:tc>
        <w:tc>
          <w:tcPr>
            <w:tcW w:w="129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1505168" w14:textId="77777777" w:rsidR="00286159" w:rsidRPr="00AE1C12" w:rsidRDefault="00286159" w:rsidP="00286159">
            <w:pPr>
              <w:spacing w:line="240" w:lineRule="auto"/>
              <w:rPr>
                <w:rFonts w:cs="Arial"/>
                <w:color w:val="000000"/>
                <w:sz w:val="16"/>
                <w:szCs w:val="16"/>
              </w:rPr>
            </w:pPr>
            <w:r w:rsidRPr="00AE1C12">
              <w:rPr>
                <w:rFonts w:cs="Arial"/>
                <w:color w:val="000000"/>
                <w:sz w:val="16"/>
                <w:szCs w:val="16"/>
              </w:rPr>
              <w:t> </w:t>
            </w:r>
          </w:p>
        </w:tc>
        <w:tc>
          <w:tcPr>
            <w:tcW w:w="139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14FD25A" w14:textId="77777777" w:rsidR="00286159" w:rsidRPr="00AE1C12" w:rsidRDefault="00286159" w:rsidP="00286159">
            <w:pPr>
              <w:spacing w:line="240" w:lineRule="auto"/>
              <w:rPr>
                <w:rFonts w:cs="Arial"/>
                <w:color w:val="000000"/>
                <w:sz w:val="16"/>
                <w:szCs w:val="16"/>
              </w:rPr>
            </w:pPr>
            <w:r w:rsidRPr="00AE1C12">
              <w:rPr>
                <w:rFonts w:cs="Arial"/>
                <w:color w:val="000000"/>
                <w:sz w:val="16"/>
                <w:szCs w:val="16"/>
              </w:rPr>
              <w:t> </w:t>
            </w:r>
          </w:p>
        </w:tc>
        <w:tc>
          <w:tcPr>
            <w:tcW w:w="1156"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1E45C327" w14:textId="77777777" w:rsidR="00286159" w:rsidRPr="00AE1C12" w:rsidRDefault="00286159" w:rsidP="00286159">
            <w:pPr>
              <w:spacing w:line="240" w:lineRule="auto"/>
              <w:rPr>
                <w:rFonts w:cs="Arial"/>
                <w:color w:val="000000"/>
                <w:sz w:val="16"/>
                <w:szCs w:val="16"/>
              </w:rPr>
            </w:pPr>
            <w:r w:rsidRPr="00AE1C12">
              <w:rPr>
                <w:rFonts w:cs="Arial"/>
                <w:color w:val="000000"/>
                <w:sz w:val="16"/>
                <w:szCs w:val="16"/>
              </w:rPr>
              <w:t> </w:t>
            </w:r>
          </w:p>
        </w:tc>
      </w:tr>
      <w:tr w:rsidR="00286159" w:rsidRPr="003415EB" w14:paraId="6AA2435E" w14:textId="77777777" w:rsidTr="00286159">
        <w:trPr>
          <w:trHeight w:val="280"/>
        </w:trPr>
        <w:tc>
          <w:tcPr>
            <w:tcW w:w="2425" w:type="dxa"/>
            <w:vMerge w:val="restart"/>
            <w:tcBorders>
              <w:top w:val="single" w:sz="4" w:space="0" w:color="auto"/>
              <w:left w:val="single" w:sz="4" w:space="0" w:color="auto"/>
              <w:right w:val="single" w:sz="4" w:space="0" w:color="auto"/>
            </w:tcBorders>
            <w:shd w:val="clear" w:color="000000" w:fill="FFC000"/>
            <w:noWrap/>
            <w:tcMar>
              <w:top w:w="15" w:type="dxa"/>
              <w:left w:w="15" w:type="dxa"/>
              <w:bottom w:w="0" w:type="dxa"/>
              <w:right w:w="15" w:type="dxa"/>
            </w:tcMar>
            <w:vAlign w:val="bottom"/>
            <w:hideMark/>
          </w:tcPr>
          <w:p w14:paraId="7851B6CB" w14:textId="77777777" w:rsidR="00286159" w:rsidRPr="003415EB" w:rsidRDefault="00286159" w:rsidP="00286159">
            <w:pPr>
              <w:rPr>
                <w:rFonts w:cs="Arial"/>
                <w:color w:val="000000"/>
                <w:sz w:val="20"/>
                <w:szCs w:val="20"/>
              </w:rPr>
            </w:pPr>
            <w:r w:rsidRPr="003415EB">
              <w:rPr>
                <w:rFonts w:cs="Arial"/>
                <w:b/>
                <w:bCs/>
                <w:color w:val="000000"/>
                <w:sz w:val="20"/>
                <w:szCs w:val="20"/>
              </w:rPr>
              <w:t>Szenario 3 Verwendung als Sekundärbrennstoff</w:t>
            </w:r>
          </w:p>
        </w:tc>
        <w:tc>
          <w:tcPr>
            <w:tcW w:w="1294" w:type="dxa"/>
            <w:vMerge w:val="restart"/>
            <w:tcBorders>
              <w:top w:val="single" w:sz="4" w:space="0" w:color="auto"/>
              <w:left w:val="nil"/>
              <w:right w:val="single" w:sz="4" w:space="0" w:color="auto"/>
            </w:tcBorders>
            <w:shd w:val="clear" w:color="000000" w:fill="FFC000"/>
            <w:noWrap/>
            <w:tcMar>
              <w:top w:w="15" w:type="dxa"/>
              <w:left w:w="15" w:type="dxa"/>
              <w:bottom w:w="0" w:type="dxa"/>
              <w:right w:w="15" w:type="dxa"/>
            </w:tcMar>
            <w:vAlign w:val="bottom"/>
            <w:hideMark/>
          </w:tcPr>
          <w:p w14:paraId="71DE8DD8" w14:textId="77777777" w:rsidR="00286159" w:rsidRPr="00B81D02" w:rsidRDefault="00286159" w:rsidP="00286159">
            <w:pPr>
              <w:jc w:val="center"/>
              <w:rPr>
                <w:rFonts w:cs="Arial"/>
                <w:b/>
                <w:color w:val="000000"/>
                <w:sz w:val="20"/>
                <w:szCs w:val="20"/>
              </w:rPr>
            </w:pPr>
            <w:r w:rsidRPr="00B81D02">
              <w:rPr>
                <w:rFonts w:cs="Arial"/>
                <w:b/>
                <w:color w:val="000000"/>
                <w:sz w:val="20"/>
                <w:szCs w:val="20"/>
              </w:rPr>
              <w:t>A1-A3</w:t>
            </w:r>
          </w:p>
        </w:tc>
        <w:tc>
          <w:tcPr>
            <w:tcW w:w="1390" w:type="dxa"/>
            <w:vMerge w:val="restart"/>
            <w:tcBorders>
              <w:top w:val="single" w:sz="4" w:space="0" w:color="auto"/>
              <w:left w:val="nil"/>
              <w:right w:val="single" w:sz="4" w:space="0" w:color="auto"/>
            </w:tcBorders>
            <w:shd w:val="clear" w:color="000000" w:fill="FFC000"/>
            <w:noWrap/>
            <w:tcMar>
              <w:top w:w="15" w:type="dxa"/>
              <w:left w:w="15" w:type="dxa"/>
              <w:bottom w:w="0" w:type="dxa"/>
              <w:right w:w="15" w:type="dxa"/>
            </w:tcMar>
            <w:vAlign w:val="bottom"/>
            <w:hideMark/>
          </w:tcPr>
          <w:p w14:paraId="01F47A4E" w14:textId="77777777" w:rsidR="00286159" w:rsidRPr="00B81D02" w:rsidRDefault="00286159" w:rsidP="00286159">
            <w:pPr>
              <w:jc w:val="center"/>
              <w:rPr>
                <w:rFonts w:cs="Arial"/>
                <w:b/>
                <w:color w:val="000000"/>
                <w:sz w:val="20"/>
                <w:szCs w:val="20"/>
              </w:rPr>
            </w:pPr>
            <w:r w:rsidRPr="00B81D02">
              <w:rPr>
                <w:rFonts w:cs="Arial"/>
                <w:b/>
                <w:color w:val="000000"/>
                <w:sz w:val="20"/>
                <w:szCs w:val="20"/>
              </w:rPr>
              <w:t>C3</w:t>
            </w:r>
          </w:p>
        </w:tc>
        <w:tc>
          <w:tcPr>
            <w:tcW w:w="1156" w:type="dxa"/>
            <w:vMerge w:val="restart"/>
            <w:tcBorders>
              <w:top w:val="single" w:sz="4" w:space="0" w:color="auto"/>
              <w:left w:val="nil"/>
              <w:right w:val="single" w:sz="4" w:space="0" w:color="auto"/>
            </w:tcBorders>
            <w:shd w:val="clear" w:color="000000" w:fill="FFC000"/>
            <w:noWrap/>
            <w:tcMar>
              <w:top w:w="15" w:type="dxa"/>
              <w:left w:w="15" w:type="dxa"/>
              <w:bottom w:w="0" w:type="dxa"/>
              <w:right w:w="15" w:type="dxa"/>
            </w:tcMar>
            <w:vAlign w:val="bottom"/>
            <w:hideMark/>
          </w:tcPr>
          <w:p w14:paraId="1B04A5EE" w14:textId="77777777" w:rsidR="00286159" w:rsidRPr="00B81D02" w:rsidRDefault="00286159" w:rsidP="00286159">
            <w:pPr>
              <w:jc w:val="center"/>
              <w:rPr>
                <w:rFonts w:cs="Arial"/>
                <w:b/>
                <w:color w:val="000000"/>
                <w:sz w:val="20"/>
                <w:szCs w:val="20"/>
              </w:rPr>
            </w:pPr>
            <w:r w:rsidRPr="00B81D02">
              <w:rPr>
                <w:rFonts w:cs="Arial"/>
                <w:b/>
                <w:color w:val="000000"/>
                <w:sz w:val="20"/>
                <w:szCs w:val="20"/>
              </w:rPr>
              <w:t>D</w:t>
            </w:r>
          </w:p>
        </w:tc>
        <w:tc>
          <w:tcPr>
            <w:tcW w:w="2550" w:type="dxa"/>
            <w:gridSpan w:val="3"/>
            <w:tcBorders>
              <w:top w:val="single" w:sz="4" w:space="0" w:color="auto"/>
              <w:bottom w:val="single" w:sz="4" w:space="0" w:color="auto"/>
              <w:right w:val="single" w:sz="4" w:space="0" w:color="auto"/>
            </w:tcBorders>
          </w:tcPr>
          <w:p w14:paraId="1C5E59A8" w14:textId="77777777" w:rsidR="00286159" w:rsidRPr="00B81D02" w:rsidRDefault="00286159" w:rsidP="00286159">
            <w:pPr>
              <w:jc w:val="center"/>
              <w:rPr>
                <w:rFonts w:cs="Arial"/>
                <w:b/>
                <w:bCs/>
                <w:sz w:val="20"/>
                <w:szCs w:val="20"/>
              </w:rPr>
            </w:pPr>
            <w:r>
              <w:rPr>
                <w:rFonts w:cs="Arial"/>
                <w:b/>
                <w:bCs/>
                <w:sz w:val="20"/>
                <w:szCs w:val="20"/>
              </w:rPr>
              <w:t xml:space="preserve">Zerlegung in Teilprozesse </w:t>
            </w:r>
            <w:r w:rsidRPr="00B81D02">
              <w:rPr>
                <w:rFonts w:cs="Arial"/>
                <w:b/>
                <w:bCs/>
                <w:sz w:val="20"/>
                <w:szCs w:val="20"/>
                <w:vertAlign w:val="superscript"/>
              </w:rPr>
              <w:t>*)</w:t>
            </w:r>
          </w:p>
        </w:tc>
      </w:tr>
      <w:tr w:rsidR="00286159" w:rsidRPr="003415EB" w14:paraId="65F588F6" w14:textId="77777777" w:rsidTr="00286159">
        <w:trPr>
          <w:trHeight w:val="280"/>
        </w:trPr>
        <w:tc>
          <w:tcPr>
            <w:tcW w:w="2425" w:type="dxa"/>
            <w:vMerge/>
            <w:tcBorders>
              <w:left w:val="single" w:sz="4" w:space="0" w:color="auto"/>
              <w:bottom w:val="single" w:sz="4" w:space="0" w:color="auto"/>
              <w:right w:val="single" w:sz="4" w:space="0" w:color="auto"/>
            </w:tcBorders>
            <w:shd w:val="clear" w:color="000000" w:fill="FFC000"/>
            <w:noWrap/>
            <w:tcMar>
              <w:top w:w="15" w:type="dxa"/>
              <w:left w:w="15" w:type="dxa"/>
              <w:bottom w:w="0" w:type="dxa"/>
              <w:right w:w="15" w:type="dxa"/>
            </w:tcMar>
            <w:vAlign w:val="bottom"/>
          </w:tcPr>
          <w:p w14:paraId="6DFF55F8" w14:textId="77777777" w:rsidR="00286159" w:rsidRPr="003415EB" w:rsidRDefault="00286159" w:rsidP="00286159">
            <w:pPr>
              <w:rPr>
                <w:rFonts w:cs="Arial"/>
                <w:color w:val="000000"/>
                <w:sz w:val="20"/>
                <w:szCs w:val="20"/>
              </w:rPr>
            </w:pPr>
          </w:p>
        </w:tc>
        <w:tc>
          <w:tcPr>
            <w:tcW w:w="1294" w:type="dxa"/>
            <w:vMerge/>
            <w:tcBorders>
              <w:left w:val="nil"/>
              <w:bottom w:val="single" w:sz="4" w:space="0" w:color="auto"/>
              <w:right w:val="single" w:sz="4" w:space="0" w:color="auto"/>
            </w:tcBorders>
            <w:shd w:val="clear" w:color="000000" w:fill="FFC000"/>
            <w:noWrap/>
            <w:tcMar>
              <w:top w:w="15" w:type="dxa"/>
              <w:left w:w="15" w:type="dxa"/>
              <w:bottom w:w="0" w:type="dxa"/>
              <w:right w:w="15" w:type="dxa"/>
            </w:tcMar>
            <w:vAlign w:val="bottom"/>
          </w:tcPr>
          <w:p w14:paraId="77920FB7" w14:textId="77777777" w:rsidR="00286159" w:rsidRPr="003415EB" w:rsidRDefault="00286159" w:rsidP="00286159">
            <w:pPr>
              <w:jc w:val="center"/>
              <w:rPr>
                <w:rFonts w:cs="Arial"/>
                <w:color w:val="000000"/>
                <w:sz w:val="20"/>
                <w:szCs w:val="20"/>
              </w:rPr>
            </w:pPr>
          </w:p>
        </w:tc>
        <w:tc>
          <w:tcPr>
            <w:tcW w:w="1390" w:type="dxa"/>
            <w:vMerge/>
            <w:tcBorders>
              <w:left w:val="nil"/>
              <w:bottom w:val="single" w:sz="4" w:space="0" w:color="auto"/>
              <w:right w:val="single" w:sz="4" w:space="0" w:color="auto"/>
            </w:tcBorders>
            <w:shd w:val="clear" w:color="000000" w:fill="FFC000"/>
            <w:noWrap/>
            <w:tcMar>
              <w:top w:w="15" w:type="dxa"/>
              <w:left w:w="15" w:type="dxa"/>
              <w:bottom w:w="0" w:type="dxa"/>
              <w:right w:w="15" w:type="dxa"/>
            </w:tcMar>
            <w:vAlign w:val="bottom"/>
          </w:tcPr>
          <w:p w14:paraId="3971CCCD" w14:textId="77777777" w:rsidR="00286159" w:rsidRPr="003415EB" w:rsidRDefault="00286159" w:rsidP="00286159">
            <w:pPr>
              <w:jc w:val="center"/>
              <w:rPr>
                <w:rFonts w:cs="Arial"/>
                <w:color w:val="000000"/>
                <w:sz w:val="20"/>
                <w:szCs w:val="20"/>
              </w:rPr>
            </w:pPr>
          </w:p>
        </w:tc>
        <w:tc>
          <w:tcPr>
            <w:tcW w:w="1156" w:type="dxa"/>
            <w:vMerge/>
            <w:tcBorders>
              <w:left w:val="nil"/>
              <w:bottom w:val="single" w:sz="4" w:space="0" w:color="auto"/>
              <w:right w:val="single" w:sz="4" w:space="0" w:color="auto"/>
            </w:tcBorders>
            <w:shd w:val="clear" w:color="000000" w:fill="FFC000"/>
            <w:noWrap/>
            <w:tcMar>
              <w:top w:w="15" w:type="dxa"/>
              <w:left w:w="15" w:type="dxa"/>
              <w:bottom w:w="0" w:type="dxa"/>
              <w:right w:w="15" w:type="dxa"/>
            </w:tcMar>
            <w:vAlign w:val="bottom"/>
          </w:tcPr>
          <w:p w14:paraId="5DCAAEE9" w14:textId="77777777" w:rsidR="00286159" w:rsidRPr="003415EB" w:rsidRDefault="00286159" w:rsidP="00286159">
            <w:pPr>
              <w:jc w:val="center"/>
              <w:rPr>
                <w:rFonts w:cs="Arial"/>
                <w:color w:val="000000"/>
                <w:sz w:val="20"/>
                <w:szCs w:val="20"/>
              </w:rPr>
            </w:pPr>
          </w:p>
        </w:tc>
        <w:tc>
          <w:tcPr>
            <w:tcW w:w="850" w:type="dxa"/>
            <w:tcBorders>
              <w:top w:val="single" w:sz="4" w:space="0" w:color="auto"/>
              <w:bottom w:val="single" w:sz="4" w:space="0" w:color="auto"/>
              <w:right w:val="single" w:sz="4" w:space="0" w:color="auto"/>
            </w:tcBorders>
          </w:tcPr>
          <w:p w14:paraId="43A503B3" w14:textId="77777777" w:rsidR="00286159" w:rsidRPr="00B81D02" w:rsidRDefault="00286159" w:rsidP="00286159">
            <w:pPr>
              <w:jc w:val="center"/>
              <w:rPr>
                <w:rFonts w:cs="Arial"/>
                <w:b/>
                <w:bCs/>
                <w:sz w:val="20"/>
                <w:szCs w:val="20"/>
              </w:rPr>
            </w:pPr>
            <w:r>
              <w:rPr>
                <w:rFonts w:cs="Arial"/>
                <w:b/>
                <w:bCs/>
                <w:sz w:val="20"/>
                <w:szCs w:val="20"/>
              </w:rPr>
              <w:t>D 1</w:t>
            </w:r>
          </w:p>
        </w:tc>
        <w:tc>
          <w:tcPr>
            <w:tcW w:w="850" w:type="dxa"/>
            <w:tcBorders>
              <w:top w:val="single" w:sz="4" w:space="0" w:color="auto"/>
              <w:left w:val="single" w:sz="4" w:space="0" w:color="auto"/>
              <w:bottom w:val="single" w:sz="4" w:space="0" w:color="auto"/>
              <w:right w:val="single" w:sz="4" w:space="0" w:color="auto"/>
            </w:tcBorders>
          </w:tcPr>
          <w:p w14:paraId="2C8BC8D0" w14:textId="77777777" w:rsidR="00286159" w:rsidRPr="00B81D02" w:rsidRDefault="00286159" w:rsidP="00286159">
            <w:pPr>
              <w:jc w:val="center"/>
              <w:rPr>
                <w:rFonts w:cs="Arial"/>
                <w:b/>
                <w:bCs/>
                <w:sz w:val="20"/>
                <w:szCs w:val="20"/>
              </w:rPr>
            </w:pPr>
            <w:r>
              <w:rPr>
                <w:rFonts w:cs="Arial"/>
                <w:b/>
                <w:bCs/>
                <w:sz w:val="20"/>
                <w:szCs w:val="20"/>
              </w:rPr>
              <w:t>D 2</w:t>
            </w:r>
          </w:p>
        </w:tc>
        <w:tc>
          <w:tcPr>
            <w:tcW w:w="850" w:type="dxa"/>
            <w:tcBorders>
              <w:top w:val="single" w:sz="4" w:space="0" w:color="auto"/>
              <w:left w:val="single" w:sz="4" w:space="0" w:color="auto"/>
              <w:bottom w:val="single" w:sz="4" w:space="0" w:color="auto"/>
              <w:right w:val="single" w:sz="4" w:space="0" w:color="auto"/>
            </w:tcBorders>
          </w:tcPr>
          <w:p w14:paraId="09A3A4CA" w14:textId="77777777" w:rsidR="00286159" w:rsidRPr="00B81D02" w:rsidRDefault="00286159" w:rsidP="00286159">
            <w:pPr>
              <w:jc w:val="center"/>
              <w:rPr>
                <w:rFonts w:cs="Arial"/>
                <w:b/>
                <w:bCs/>
                <w:sz w:val="20"/>
                <w:szCs w:val="20"/>
              </w:rPr>
            </w:pPr>
            <w:r>
              <w:rPr>
                <w:rFonts w:cs="Arial"/>
                <w:b/>
                <w:bCs/>
                <w:sz w:val="20"/>
                <w:szCs w:val="20"/>
              </w:rPr>
              <w:t>D 3</w:t>
            </w:r>
          </w:p>
        </w:tc>
      </w:tr>
      <w:tr w:rsidR="00286159" w:rsidRPr="003415EB" w14:paraId="427F00F3" w14:textId="77777777" w:rsidTr="00286159">
        <w:trPr>
          <w:trHeight w:val="280"/>
        </w:trPr>
        <w:tc>
          <w:tcPr>
            <w:tcW w:w="2425" w:type="dxa"/>
            <w:tcBorders>
              <w:top w:val="nil"/>
              <w:left w:val="single" w:sz="4" w:space="0" w:color="auto"/>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17942C52" w14:textId="77777777" w:rsidR="00286159" w:rsidRPr="003415EB" w:rsidRDefault="00286159" w:rsidP="00286159">
            <w:pPr>
              <w:rPr>
                <w:rFonts w:cs="Arial"/>
                <w:color w:val="000000"/>
                <w:sz w:val="20"/>
                <w:szCs w:val="20"/>
              </w:rPr>
            </w:pPr>
            <w:r w:rsidRPr="003415EB">
              <w:rPr>
                <w:rFonts w:cs="Arial"/>
                <w:color w:val="000000"/>
                <w:sz w:val="20"/>
                <w:szCs w:val="20"/>
              </w:rPr>
              <w:t>PERE [MJ]</w:t>
            </w:r>
          </w:p>
        </w:tc>
        <w:tc>
          <w:tcPr>
            <w:tcW w:w="1294"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2A750F4C" w14:textId="77777777" w:rsidR="00286159" w:rsidRPr="003415EB" w:rsidRDefault="00286159" w:rsidP="00286159">
            <w:pPr>
              <w:jc w:val="right"/>
              <w:rPr>
                <w:rFonts w:cs="Arial"/>
                <w:color w:val="000000"/>
                <w:sz w:val="20"/>
                <w:szCs w:val="20"/>
              </w:rPr>
            </w:pPr>
            <w:r w:rsidRPr="003415EB">
              <w:rPr>
                <w:rFonts w:cs="Arial"/>
                <w:color w:val="000000"/>
                <w:sz w:val="20"/>
                <w:szCs w:val="20"/>
              </w:rPr>
              <w:t>4500</w:t>
            </w:r>
          </w:p>
        </w:tc>
        <w:tc>
          <w:tcPr>
            <w:tcW w:w="1390"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67D8915A" w14:textId="130CA088" w:rsidR="00286159" w:rsidRPr="003415EB" w:rsidRDefault="00286159" w:rsidP="00286159">
            <w:pPr>
              <w:jc w:val="right"/>
              <w:rPr>
                <w:rFonts w:cs="Arial"/>
                <w:color w:val="000000"/>
                <w:sz w:val="20"/>
                <w:szCs w:val="20"/>
              </w:rPr>
            </w:pPr>
            <w:r w:rsidRPr="003415EB">
              <w:rPr>
                <w:rFonts w:cs="Arial"/>
                <w:color w:val="000000"/>
                <w:sz w:val="20"/>
                <w:szCs w:val="20"/>
              </w:rPr>
              <w:t>8</w:t>
            </w:r>
          </w:p>
        </w:tc>
        <w:tc>
          <w:tcPr>
            <w:tcW w:w="1156"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7A4D131E" w14:textId="6677351B" w:rsidR="00286159" w:rsidRPr="003415EB" w:rsidRDefault="00286159" w:rsidP="00286159">
            <w:pPr>
              <w:jc w:val="right"/>
              <w:rPr>
                <w:rFonts w:cs="Arial"/>
                <w:color w:val="000000"/>
                <w:sz w:val="20"/>
                <w:szCs w:val="20"/>
              </w:rPr>
            </w:pPr>
            <w:r w:rsidRPr="003415EB">
              <w:rPr>
                <w:rFonts w:cs="Arial"/>
                <w:color w:val="000000"/>
                <w:sz w:val="20"/>
                <w:szCs w:val="20"/>
              </w:rPr>
              <w:t>9350</w:t>
            </w:r>
          </w:p>
        </w:tc>
        <w:tc>
          <w:tcPr>
            <w:tcW w:w="850" w:type="dxa"/>
            <w:tcBorders>
              <w:top w:val="single" w:sz="4" w:space="0" w:color="auto"/>
              <w:bottom w:val="single" w:sz="4" w:space="0" w:color="auto"/>
              <w:right w:val="single" w:sz="4" w:space="0" w:color="auto"/>
            </w:tcBorders>
            <w:vAlign w:val="bottom"/>
          </w:tcPr>
          <w:p w14:paraId="79E3558A" w14:textId="77777777" w:rsidR="00286159" w:rsidRPr="00B81D02" w:rsidRDefault="00286159" w:rsidP="00286159">
            <w:pPr>
              <w:jc w:val="right"/>
              <w:rPr>
                <w:rFonts w:cs="Arial"/>
                <w:sz w:val="20"/>
                <w:szCs w:val="20"/>
              </w:rPr>
            </w:pPr>
            <w:r w:rsidRPr="00B81D02">
              <w:rPr>
                <w:rFonts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bottom"/>
          </w:tcPr>
          <w:p w14:paraId="215581DA" w14:textId="063D3364" w:rsidR="00286159" w:rsidRPr="00B81D02" w:rsidRDefault="00286159" w:rsidP="00286159">
            <w:pPr>
              <w:jc w:val="right"/>
              <w:rPr>
                <w:rFonts w:cs="Arial"/>
                <w:sz w:val="20"/>
                <w:szCs w:val="20"/>
              </w:rPr>
            </w:pPr>
            <w:r w:rsidRPr="00B81D02">
              <w:rPr>
                <w:rFonts w:cs="Arial"/>
                <w:sz w:val="20"/>
                <w:szCs w:val="20"/>
              </w:rPr>
              <w:t>11000</w:t>
            </w:r>
          </w:p>
        </w:tc>
        <w:tc>
          <w:tcPr>
            <w:tcW w:w="850" w:type="dxa"/>
            <w:tcBorders>
              <w:top w:val="single" w:sz="4" w:space="0" w:color="auto"/>
              <w:left w:val="single" w:sz="4" w:space="0" w:color="auto"/>
              <w:bottom w:val="single" w:sz="4" w:space="0" w:color="auto"/>
              <w:right w:val="single" w:sz="4" w:space="0" w:color="auto"/>
            </w:tcBorders>
            <w:vAlign w:val="bottom"/>
          </w:tcPr>
          <w:p w14:paraId="68633F44" w14:textId="77777777" w:rsidR="00286159" w:rsidRPr="00B81D02" w:rsidRDefault="00286159" w:rsidP="00286159">
            <w:pPr>
              <w:jc w:val="right"/>
              <w:rPr>
                <w:rFonts w:cs="Arial"/>
                <w:sz w:val="20"/>
                <w:szCs w:val="20"/>
              </w:rPr>
            </w:pPr>
            <w:r w:rsidRPr="00B81D02">
              <w:rPr>
                <w:rFonts w:cs="Arial"/>
                <w:sz w:val="20"/>
                <w:szCs w:val="20"/>
              </w:rPr>
              <w:t>-1650</w:t>
            </w:r>
          </w:p>
        </w:tc>
      </w:tr>
      <w:tr w:rsidR="00286159" w:rsidRPr="003415EB" w14:paraId="6F338EF5" w14:textId="77777777" w:rsidTr="00286159">
        <w:trPr>
          <w:trHeight w:val="280"/>
        </w:trPr>
        <w:tc>
          <w:tcPr>
            <w:tcW w:w="2425" w:type="dxa"/>
            <w:tcBorders>
              <w:top w:val="nil"/>
              <w:left w:val="single" w:sz="4" w:space="0" w:color="auto"/>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1D543DAD" w14:textId="77777777" w:rsidR="00286159" w:rsidRPr="003415EB" w:rsidRDefault="00286159" w:rsidP="00286159">
            <w:pPr>
              <w:rPr>
                <w:rFonts w:cs="Arial"/>
                <w:color w:val="000000"/>
                <w:sz w:val="20"/>
                <w:szCs w:val="20"/>
              </w:rPr>
            </w:pPr>
            <w:r w:rsidRPr="003415EB">
              <w:rPr>
                <w:rFonts w:cs="Arial"/>
                <w:color w:val="000000"/>
                <w:sz w:val="20"/>
                <w:szCs w:val="20"/>
              </w:rPr>
              <w:t>PERM [MJ]</w:t>
            </w:r>
          </w:p>
        </w:tc>
        <w:tc>
          <w:tcPr>
            <w:tcW w:w="1294"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43CECFB1" w14:textId="77777777" w:rsidR="00286159" w:rsidRPr="00B81D02" w:rsidRDefault="00286159" w:rsidP="00286159">
            <w:pPr>
              <w:jc w:val="right"/>
              <w:rPr>
                <w:rFonts w:cs="Arial"/>
                <w:b/>
                <w:color w:val="000000"/>
                <w:sz w:val="20"/>
                <w:szCs w:val="20"/>
              </w:rPr>
            </w:pPr>
            <w:r w:rsidRPr="00B81D02">
              <w:rPr>
                <w:rFonts w:cs="Arial"/>
                <w:b/>
                <w:color w:val="000000"/>
                <w:sz w:val="20"/>
                <w:szCs w:val="20"/>
              </w:rPr>
              <w:t>11000</w:t>
            </w:r>
          </w:p>
        </w:tc>
        <w:tc>
          <w:tcPr>
            <w:tcW w:w="1390"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70029BD4" w14:textId="77777777" w:rsidR="00286159" w:rsidRPr="00B81D02" w:rsidRDefault="00286159" w:rsidP="00286159">
            <w:pPr>
              <w:jc w:val="right"/>
              <w:rPr>
                <w:rFonts w:cs="Arial"/>
                <w:b/>
                <w:color w:val="000000"/>
                <w:sz w:val="20"/>
                <w:szCs w:val="20"/>
              </w:rPr>
            </w:pPr>
            <w:r w:rsidRPr="00B81D02">
              <w:rPr>
                <w:rFonts w:cs="Arial"/>
                <w:b/>
                <w:color w:val="000000"/>
                <w:sz w:val="20"/>
                <w:szCs w:val="20"/>
              </w:rPr>
              <w:t>-11000</w:t>
            </w:r>
          </w:p>
        </w:tc>
        <w:tc>
          <w:tcPr>
            <w:tcW w:w="1156"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2F210EC0" w14:textId="77777777" w:rsidR="00286159" w:rsidRPr="00B81D02" w:rsidRDefault="00286159" w:rsidP="00286159">
            <w:pPr>
              <w:jc w:val="right"/>
              <w:rPr>
                <w:rFonts w:cs="Arial"/>
                <w:b/>
                <w:color w:val="000000"/>
                <w:sz w:val="20"/>
                <w:szCs w:val="20"/>
              </w:rPr>
            </w:pPr>
            <w:r w:rsidRPr="00B81D02">
              <w:rPr>
                <w:rFonts w:cs="Arial"/>
                <w:b/>
                <w:color w:val="000000"/>
                <w:sz w:val="20"/>
                <w:szCs w:val="20"/>
              </w:rPr>
              <w:t>0</w:t>
            </w:r>
          </w:p>
        </w:tc>
        <w:tc>
          <w:tcPr>
            <w:tcW w:w="850" w:type="dxa"/>
            <w:tcBorders>
              <w:top w:val="single" w:sz="4" w:space="0" w:color="auto"/>
              <w:bottom w:val="single" w:sz="4" w:space="0" w:color="auto"/>
              <w:right w:val="single" w:sz="4" w:space="0" w:color="auto"/>
            </w:tcBorders>
            <w:vAlign w:val="bottom"/>
          </w:tcPr>
          <w:p w14:paraId="223FA39C" w14:textId="77777777" w:rsidR="00286159" w:rsidRPr="00B81D02" w:rsidRDefault="00286159" w:rsidP="00286159">
            <w:pPr>
              <w:jc w:val="right"/>
              <w:rPr>
                <w:rFonts w:cs="Arial"/>
                <w:sz w:val="20"/>
                <w:szCs w:val="20"/>
              </w:rPr>
            </w:pPr>
            <w:r w:rsidRPr="00B81D02">
              <w:rPr>
                <w:rFonts w:cs="Arial"/>
                <w:sz w:val="20"/>
                <w:szCs w:val="20"/>
              </w:rPr>
              <w:t>11000</w:t>
            </w:r>
          </w:p>
        </w:tc>
        <w:tc>
          <w:tcPr>
            <w:tcW w:w="850" w:type="dxa"/>
            <w:tcBorders>
              <w:top w:val="single" w:sz="4" w:space="0" w:color="auto"/>
              <w:left w:val="single" w:sz="4" w:space="0" w:color="auto"/>
              <w:bottom w:val="single" w:sz="4" w:space="0" w:color="auto"/>
              <w:right w:val="single" w:sz="4" w:space="0" w:color="auto"/>
            </w:tcBorders>
            <w:vAlign w:val="bottom"/>
          </w:tcPr>
          <w:p w14:paraId="7E745290" w14:textId="77777777" w:rsidR="00286159" w:rsidRPr="00B81D02" w:rsidRDefault="00286159" w:rsidP="00286159">
            <w:pPr>
              <w:jc w:val="right"/>
              <w:rPr>
                <w:rFonts w:cs="Arial"/>
                <w:sz w:val="20"/>
                <w:szCs w:val="20"/>
              </w:rPr>
            </w:pPr>
            <w:r w:rsidRPr="00B81D02">
              <w:rPr>
                <w:rFonts w:cs="Arial"/>
                <w:sz w:val="20"/>
                <w:szCs w:val="20"/>
              </w:rPr>
              <w:t>-11000</w:t>
            </w:r>
          </w:p>
        </w:tc>
        <w:tc>
          <w:tcPr>
            <w:tcW w:w="850" w:type="dxa"/>
            <w:tcBorders>
              <w:top w:val="single" w:sz="4" w:space="0" w:color="auto"/>
              <w:left w:val="single" w:sz="4" w:space="0" w:color="auto"/>
              <w:bottom w:val="single" w:sz="4" w:space="0" w:color="auto"/>
              <w:right w:val="single" w:sz="4" w:space="0" w:color="auto"/>
            </w:tcBorders>
            <w:vAlign w:val="bottom"/>
          </w:tcPr>
          <w:p w14:paraId="4F9055AC" w14:textId="77777777" w:rsidR="00286159" w:rsidRPr="00B81D02" w:rsidRDefault="00286159" w:rsidP="00286159">
            <w:pPr>
              <w:jc w:val="right"/>
              <w:rPr>
                <w:rFonts w:cs="Arial"/>
                <w:sz w:val="20"/>
                <w:szCs w:val="20"/>
              </w:rPr>
            </w:pPr>
            <w:r w:rsidRPr="00B81D02">
              <w:rPr>
                <w:rFonts w:cs="Arial"/>
                <w:sz w:val="20"/>
                <w:szCs w:val="20"/>
              </w:rPr>
              <w:t>0</w:t>
            </w:r>
          </w:p>
        </w:tc>
      </w:tr>
      <w:tr w:rsidR="00286159" w:rsidRPr="003415EB" w14:paraId="277380D5" w14:textId="77777777" w:rsidTr="00286159">
        <w:trPr>
          <w:trHeight w:val="280"/>
        </w:trPr>
        <w:tc>
          <w:tcPr>
            <w:tcW w:w="2425" w:type="dxa"/>
            <w:tcBorders>
              <w:top w:val="nil"/>
              <w:left w:val="single" w:sz="4" w:space="0" w:color="auto"/>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2800474A" w14:textId="77777777" w:rsidR="00286159" w:rsidRPr="003415EB" w:rsidRDefault="00286159" w:rsidP="00286159">
            <w:pPr>
              <w:rPr>
                <w:rFonts w:cs="Arial"/>
                <w:color w:val="000000"/>
                <w:sz w:val="20"/>
                <w:szCs w:val="20"/>
              </w:rPr>
            </w:pPr>
            <w:r w:rsidRPr="003415EB">
              <w:rPr>
                <w:rFonts w:cs="Arial"/>
                <w:color w:val="000000"/>
                <w:sz w:val="20"/>
                <w:szCs w:val="20"/>
              </w:rPr>
              <w:t>PERT [MJ]</w:t>
            </w:r>
          </w:p>
        </w:tc>
        <w:tc>
          <w:tcPr>
            <w:tcW w:w="1294"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2DBBA625" w14:textId="77777777" w:rsidR="00286159" w:rsidRPr="003415EB" w:rsidRDefault="00286159" w:rsidP="00286159">
            <w:pPr>
              <w:jc w:val="right"/>
              <w:rPr>
                <w:rFonts w:cs="Arial"/>
                <w:color w:val="000000"/>
                <w:sz w:val="20"/>
                <w:szCs w:val="20"/>
              </w:rPr>
            </w:pPr>
            <w:r w:rsidRPr="003415EB">
              <w:rPr>
                <w:rFonts w:cs="Arial"/>
                <w:color w:val="000000"/>
                <w:sz w:val="20"/>
                <w:szCs w:val="20"/>
              </w:rPr>
              <w:t>15500</w:t>
            </w:r>
          </w:p>
        </w:tc>
        <w:tc>
          <w:tcPr>
            <w:tcW w:w="1390"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12E19F21" w14:textId="2FFCC4A0" w:rsidR="00286159" w:rsidRPr="003415EB" w:rsidRDefault="00286159" w:rsidP="00286159">
            <w:pPr>
              <w:jc w:val="right"/>
              <w:rPr>
                <w:rFonts w:cs="Arial"/>
                <w:color w:val="000000"/>
                <w:sz w:val="20"/>
                <w:szCs w:val="20"/>
              </w:rPr>
            </w:pPr>
            <w:r w:rsidRPr="003415EB">
              <w:rPr>
                <w:rFonts w:cs="Arial"/>
                <w:color w:val="000000"/>
                <w:sz w:val="20"/>
                <w:szCs w:val="20"/>
              </w:rPr>
              <w:t>-10992</w:t>
            </w:r>
          </w:p>
        </w:tc>
        <w:tc>
          <w:tcPr>
            <w:tcW w:w="1156"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74A2659D" w14:textId="0F0FEF64" w:rsidR="00286159" w:rsidRPr="003415EB" w:rsidRDefault="00286159" w:rsidP="00286159">
            <w:pPr>
              <w:jc w:val="right"/>
              <w:rPr>
                <w:rFonts w:cs="Arial"/>
                <w:color w:val="000000"/>
                <w:sz w:val="20"/>
                <w:szCs w:val="20"/>
              </w:rPr>
            </w:pPr>
            <w:r w:rsidRPr="003415EB">
              <w:rPr>
                <w:rFonts w:cs="Arial"/>
                <w:color w:val="000000"/>
                <w:sz w:val="20"/>
                <w:szCs w:val="20"/>
              </w:rPr>
              <w:t>9350</w:t>
            </w:r>
          </w:p>
        </w:tc>
        <w:tc>
          <w:tcPr>
            <w:tcW w:w="850" w:type="dxa"/>
            <w:tcBorders>
              <w:top w:val="single" w:sz="4" w:space="0" w:color="auto"/>
              <w:bottom w:val="single" w:sz="4" w:space="0" w:color="auto"/>
              <w:right w:val="single" w:sz="4" w:space="0" w:color="auto"/>
            </w:tcBorders>
            <w:vAlign w:val="bottom"/>
          </w:tcPr>
          <w:p w14:paraId="152133D2" w14:textId="77777777" w:rsidR="00286159" w:rsidRPr="00B81D02" w:rsidRDefault="00286159" w:rsidP="00286159">
            <w:pPr>
              <w:jc w:val="right"/>
              <w:rPr>
                <w:rFonts w:cs="Arial"/>
                <w:sz w:val="20"/>
                <w:szCs w:val="20"/>
              </w:rPr>
            </w:pPr>
            <w:r w:rsidRPr="00B81D02">
              <w:rPr>
                <w:rFonts w:cs="Arial"/>
                <w:sz w:val="20"/>
                <w:szCs w:val="20"/>
              </w:rPr>
              <w:t>11000</w:t>
            </w:r>
          </w:p>
        </w:tc>
        <w:tc>
          <w:tcPr>
            <w:tcW w:w="850" w:type="dxa"/>
            <w:tcBorders>
              <w:top w:val="single" w:sz="4" w:space="0" w:color="auto"/>
              <w:left w:val="single" w:sz="4" w:space="0" w:color="auto"/>
              <w:bottom w:val="single" w:sz="4" w:space="0" w:color="auto"/>
              <w:right w:val="single" w:sz="4" w:space="0" w:color="auto"/>
            </w:tcBorders>
            <w:vAlign w:val="bottom"/>
          </w:tcPr>
          <w:p w14:paraId="35CDB577" w14:textId="715F8AD2" w:rsidR="00286159" w:rsidRPr="00B81D02" w:rsidRDefault="00286159" w:rsidP="00286159">
            <w:pPr>
              <w:jc w:val="right"/>
              <w:rPr>
                <w:rFonts w:cs="Arial"/>
                <w:sz w:val="20"/>
                <w:szCs w:val="20"/>
              </w:rPr>
            </w:pPr>
            <w:r w:rsidRPr="00B81D02">
              <w:rPr>
                <w:rFonts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bottom"/>
          </w:tcPr>
          <w:p w14:paraId="2FB75638" w14:textId="77777777" w:rsidR="00286159" w:rsidRPr="00B81D02" w:rsidRDefault="00286159" w:rsidP="00286159">
            <w:pPr>
              <w:jc w:val="right"/>
              <w:rPr>
                <w:rFonts w:cs="Arial"/>
                <w:sz w:val="20"/>
                <w:szCs w:val="20"/>
              </w:rPr>
            </w:pPr>
            <w:r w:rsidRPr="00B81D02">
              <w:rPr>
                <w:rFonts w:cs="Arial"/>
                <w:sz w:val="20"/>
                <w:szCs w:val="20"/>
              </w:rPr>
              <w:t>-1650</w:t>
            </w:r>
          </w:p>
        </w:tc>
      </w:tr>
      <w:tr w:rsidR="00286159" w:rsidRPr="003415EB" w14:paraId="724A2D72" w14:textId="77777777" w:rsidTr="00286159">
        <w:trPr>
          <w:trHeight w:val="280"/>
        </w:trPr>
        <w:tc>
          <w:tcPr>
            <w:tcW w:w="2425" w:type="dxa"/>
            <w:tcBorders>
              <w:top w:val="nil"/>
              <w:left w:val="single" w:sz="4" w:space="0" w:color="auto"/>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152220BB" w14:textId="77777777" w:rsidR="00286159" w:rsidRPr="003415EB" w:rsidRDefault="00286159" w:rsidP="00286159">
            <w:pPr>
              <w:rPr>
                <w:rFonts w:cs="Arial"/>
                <w:color w:val="000000"/>
                <w:sz w:val="20"/>
                <w:szCs w:val="20"/>
              </w:rPr>
            </w:pPr>
            <w:r w:rsidRPr="003415EB">
              <w:rPr>
                <w:rFonts w:cs="Arial"/>
                <w:color w:val="000000"/>
                <w:sz w:val="20"/>
                <w:szCs w:val="20"/>
              </w:rPr>
              <w:t>PENRE [MJ]</w:t>
            </w:r>
          </w:p>
        </w:tc>
        <w:tc>
          <w:tcPr>
            <w:tcW w:w="1294"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594E65FF" w14:textId="77777777" w:rsidR="00286159" w:rsidRPr="003415EB" w:rsidRDefault="00286159" w:rsidP="00286159">
            <w:pPr>
              <w:jc w:val="right"/>
              <w:rPr>
                <w:rFonts w:cs="Arial"/>
                <w:color w:val="000000"/>
                <w:sz w:val="20"/>
                <w:szCs w:val="20"/>
              </w:rPr>
            </w:pPr>
            <w:r w:rsidRPr="003415EB">
              <w:rPr>
                <w:rFonts w:cs="Arial"/>
                <w:color w:val="000000"/>
                <w:sz w:val="20"/>
                <w:szCs w:val="20"/>
              </w:rPr>
              <w:t>3485</w:t>
            </w:r>
          </w:p>
        </w:tc>
        <w:tc>
          <w:tcPr>
            <w:tcW w:w="1390"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2FABCD17" w14:textId="795D7CAB" w:rsidR="00286159" w:rsidRPr="003415EB" w:rsidRDefault="00286159" w:rsidP="00286159">
            <w:pPr>
              <w:jc w:val="right"/>
              <w:rPr>
                <w:rFonts w:cs="Arial"/>
                <w:color w:val="000000"/>
                <w:sz w:val="20"/>
                <w:szCs w:val="20"/>
              </w:rPr>
            </w:pPr>
            <w:r w:rsidRPr="003415EB">
              <w:rPr>
                <w:rFonts w:cs="Arial"/>
                <w:color w:val="000000"/>
                <w:sz w:val="20"/>
                <w:szCs w:val="20"/>
              </w:rPr>
              <w:t>13</w:t>
            </w:r>
          </w:p>
        </w:tc>
        <w:tc>
          <w:tcPr>
            <w:tcW w:w="1156"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6CE7C2F2" w14:textId="128498FF" w:rsidR="00286159" w:rsidRPr="003415EB" w:rsidRDefault="00286159" w:rsidP="00286159">
            <w:pPr>
              <w:jc w:val="right"/>
              <w:rPr>
                <w:rFonts w:cs="Arial"/>
                <w:color w:val="000000"/>
                <w:sz w:val="20"/>
                <w:szCs w:val="20"/>
              </w:rPr>
            </w:pPr>
            <w:r w:rsidRPr="003415EB">
              <w:rPr>
                <w:rFonts w:cs="Arial"/>
                <w:color w:val="000000"/>
                <w:sz w:val="20"/>
                <w:szCs w:val="20"/>
              </w:rPr>
              <w:t>-5315</w:t>
            </w:r>
          </w:p>
        </w:tc>
        <w:tc>
          <w:tcPr>
            <w:tcW w:w="850" w:type="dxa"/>
            <w:tcBorders>
              <w:top w:val="single" w:sz="4" w:space="0" w:color="auto"/>
              <w:bottom w:val="single" w:sz="4" w:space="0" w:color="auto"/>
              <w:right w:val="single" w:sz="4" w:space="0" w:color="auto"/>
            </w:tcBorders>
            <w:vAlign w:val="bottom"/>
          </w:tcPr>
          <w:p w14:paraId="122EA4B8" w14:textId="77777777" w:rsidR="00286159" w:rsidRPr="00B81D02" w:rsidRDefault="00286159" w:rsidP="00286159">
            <w:pPr>
              <w:jc w:val="right"/>
              <w:rPr>
                <w:rFonts w:cs="Arial"/>
                <w:sz w:val="20"/>
                <w:szCs w:val="20"/>
              </w:rPr>
            </w:pPr>
            <w:r w:rsidRPr="00B81D02">
              <w:rPr>
                <w:rFonts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bottom"/>
          </w:tcPr>
          <w:p w14:paraId="2271E26A" w14:textId="03EE1F45" w:rsidR="00286159" w:rsidRPr="00B81D02" w:rsidRDefault="00286159" w:rsidP="00286159">
            <w:pPr>
              <w:jc w:val="right"/>
              <w:rPr>
                <w:rFonts w:cs="Arial"/>
                <w:sz w:val="20"/>
                <w:szCs w:val="20"/>
              </w:rPr>
            </w:pPr>
            <w:r w:rsidRPr="00B81D02">
              <w:rPr>
                <w:rFonts w:cs="Arial"/>
                <w:sz w:val="20"/>
                <w:szCs w:val="20"/>
              </w:rPr>
              <w:t>645</w:t>
            </w:r>
          </w:p>
        </w:tc>
        <w:tc>
          <w:tcPr>
            <w:tcW w:w="850" w:type="dxa"/>
            <w:tcBorders>
              <w:top w:val="single" w:sz="4" w:space="0" w:color="auto"/>
              <w:left w:val="single" w:sz="4" w:space="0" w:color="auto"/>
              <w:bottom w:val="single" w:sz="4" w:space="0" w:color="auto"/>
              <w:right w:val="single" w:sz="4" w:space="0" w:color="auto"/>
            </w:tcBorders>
            <w:vAlign w:val="bottom"/>
          </w:tcPr>
          <w:p w14:paraId="0607BF7F" w14:textId="77777777" w:rsidR="00286159" w:rsidRPr="00B81D02" w:rsidRDefault="00286159" w:rsidP="00286159">
            <w:pPr>
              <w:jc w:val="right"/>
              <w:rPr>
                <w:rFonts w:cs="Arial"/>
                <w:sz w:val="20"/>
                <w:szCs w:val="20"/>
              </w:rPr>
            </w:pPr>
            <w:r w:rsidRPr="00B81D02">
              <w:rPr>
                <w:rFonts w:cs="Arial"/>
                <w:sz w:val="20"/>
                <w:szCs w:val="20"/>
              </w:rPr>
              <w:t>-5960</w:t>
            </w:r>
          </w:p>
        </w:tc>
      </w:tr>
      <w:tr w:rsidR="00286159" w:rsidRPr="003415EB" w14:paraId="652CE7DE" w14:textId="77777777" w:rsidTr="00286159">
        <w:trPr>
          <w:trHeight w:val="280"/>
        </w:trPr>
        <w:tc>
          <w:tcPr>
            <w:tcW w:w="2425" w:type="dxa"/>
            <w:tcBorders>
              <w:top w:val="nil"/>
              <w:left w:val="single" w:sz="4" w:space="0" w:color="auto"/>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22BE651A" w14:textId="77777777" w:rsidR="00286159" w:rsidRPr="003415EB" w:rsidRDefault="00286159" w:rsidP="00286159">
            <w:pPr>
              <w:rPr>
                <w:rFonts w:cs="Arial"/>
                <w:color w:val="000000"/>
                <w:sz w:val="20"/>
                <w:szCs w:val="20"/>
              </w:rPr>
            </w:pPr>
            <w:r w:rsidRPr="003415EB">
              <w:rPr>
                <w:rFonts w:cs="Arial"/>
                <w:color w:val="000000"/>
                <w:sz w:val="20"/>
                <w:szCs w:val="20"/>
              </w:rPr>
              <w:t>PENRM [MJ]</w:t>
            </w:r>
          </w:p>
        </w:tc>
        <w:tc>
          <w:tcPr>
            <w:tcW w:w="1294"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7D39657E" w14:textId="77777777" w:rsidR="00286159" w:rsidRPr="00B81D02" w:rsidRDefault="00286159" w:rsidP="00286159">
            <w:pPr>
              <w:jc w:val="right"/>
              <w:rPr>
                <w:rFonts w:cs="Arial"/>
                <w:b/>
                <w:color w:val="000000"/>
                <w:sz w:val="20"/>
                <w:szCs w:val="20"/>
              </w:rPr>
            </w:pPr>
            <w:r w:rsidRPr="00B81D02">
              <w:rPr>
                <w:rFonts w:cs="Arial"/>
                <w:b/>
                <w:color w:val="000000"/>
                <w:sz w:val="20"/>
                <w:szCs w:val="20"/>
              </w:rPr>
              <w:t>645</w:t>
            </w:r>
          </w:p>
        </w:tc>
        <w:tc>
          <w:tcPr>
            <w:tcW w:w="1390"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1DF784D1" w14:textId="77777777" w:rsidR="00286159" w:rsidRPr="00B81D02" w:rsidRDefault="00286159" w:rsidP="00286159">
            <w:pPr>
              <w:jc w:val="right"/>
              <w:rPr>
                <w:rFonts w:cs="Arial"/>
                <w:b/>
                <w:color w:val="000000"/>
                <w:sz w:val="20"/>
                <w:szCs w:val="20"/>
              </w:rPr>
            </w:pPr>
            <w:r w:rsidRPr="00B81D02">
              <w:rPr>
                <w:rFonts w:cs="Arial"/>
                <w:b/>
                <w:color w:val="000000"/>
                <w:sz w:val="20"/>
                <w:szCs w:val="20"/>
              </w:rPr>
              <w:t>-645</w:t>
            </w:r>
          </w:p>
        </w:tc>
        <w:tc>
          <w:tcPr>
            <w:tcW w:w="1156"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3BAF0B16" w14:textId="77777777" w:rsidR="00286159" w:rsidRPr="00B81D02" w:rsidRDefault="00286159" w:rsidP="00286159">
            <w:pPr>
              <w:jc w:val="right"/>
              <w:rPr>
                <w:rFonts w:cs="Arial"/>
                <w:b/>
                <w:color w:val="000000"/>
                <w:sz w:val="20"/>
                <w:szCs w:val="20"/>
              </w:rPr>
            </w:pPr>
            <w:r w:rsidRPr="00B81D02">
              <w:rPr>
                <w:rFonts w:cs="Arial"/>
                <w:b/>
                <w:color w:val="000000"/>
                <w:sz w:val="20"/>
                <w:szCs w:val="20"/>
              </w:rPr>
              <w:t>0</w:t>
            </w:r>
          </w:p>
        </w:tc>
        <w:tc>
          <w:tcPr>
            <w:tcW w:w="850" w:type="dxa"/>
            <w:tcBorders>
              <w:top w:val="single" w:sz="4" w:space="0" w:color="auto"/>
              <w:bottom w:val="single" w:sz="4" w:space="0" w:color="auto"/>
              <w:right w:val="single" w:sz="4" w:space="0" w:color="auto"/>
            </w:tcBorders>
            <w:vAlign w:val="bottom"/>
          </w:tcPr>
          <w:p w14:paraId="45491792" w14:textId="77777777" w:rsidR="00286159" w:rsidRPr="00B81D02" w:rsidRDefault="00286159" w:rsidP="00286159">
            <w:pPr>
              <w:jc w:val="right"/>
              <w:rPr>
                <w:rFonts w:cs="Arial"/>
                <w:sz w:val="20"/>
                <w:szCs w:val="20"/>
              </w:rPr>
            </w:pPr>
            <w:r w:rsidRPr="00B81D02">
              <w:rPr>
                <w:rFonts w:cs="Arial"/>
                <w:sz w:val="20"/>
                <w:szCs w:val="20"/>
              </w:rPr>
              <w:t>645</w:t>
            </w:r>
          </w:p>
        </w:tc>
        <w:tc>
          <w:tcPr>
            <w:tcW w:w="850" w:type="dxa"/>
            <w:tcBorders>
              <w:top w:val="single" w:sz="4" w:space="0" w:color="auto"/>
              <w:left w:val="single" w:sz="4" w:space="0" w:color="auto"/>
              <w:bottom w:val="single" w:sz="4" w:space="0" w:color="auto"/>
              <w:right w:val="single" w:sz="4" w:space="0" w:color="auto"/>
            </w:tcBorders>
            <w:vAlign w:val="bottom"/>
          </w:tcPr>
          <w:p w14:paraId="201A07F2" w14:textId="77777777" w:rsidR="00286159" w:rsidRPr="00B81D02" w:rsidRDefault="00286159" w:rsidP="00286159">
            <w:pPr>
              <w:jc w:val="right"/>
              <w:rPr>
                <w:rFonts w:cs="Arial"/>
                <w:sz w:val="20"/>
                <w:szCs w:val="20"/>
              </w:rPr>
            </w:pPr>
            <w:r w:rsidRPr="00B81D02">
              <w:rPr>
                <w:rFonts w:cs="Arial"/>
                <w:sz w:val="20"/>
                <w:szCs w:val="20"/>
              </w:rPr>
              <w:t>-645</w:t>
            </w:r>
          </w:p>
        </w:tc>
        <w:tc>
          <w:tcPr>
            <w:tcW w:w="850" w:type="dxa"/>
            <w:tcBorders>
              <w:top w:val="single" w:sz="4" w:space="0" w:color="auto"/>
              <w:left w:val="single" w:sz="4" w:space="0" w:color="auto"/>
              <w:bottom w:val="single" w:sz="4" w:space="0" w:color="auto"/>
              <w:right w:val="single" w:sz="4" w:space="0" w:color="auto"/>
            </w:tcBorders>
            <w:vAlign w:val="bottom"/>
          </w:tcPr>
          <w:p w14:paraId="21AF8278" w14:textId="77777777" w:rsidR="00286159" w:rsidRPr="00B81D02" w:rsidRDefault="00286159" w:rsidP="00286159">
            <w:pPr>
              <w:jc w:val="right"/>
              <w:rPr>
                <w:rFonts w:cs="Arial"/>
                <w:sz w:val="20"/>
                <w:szCs w:val="20"/>
              </w:rPr>
            </w:pPr>
            <w:r w:rsidRPr="00B81D02">
              <w:rPr>
                <w:rFonts w:cs="Arial"/>
                <w:sz w:val="20"/>
                <w:szCs w:val="20"/>
              </w:rPr>
              <w:t>0</w:t>
            </w:r>
          </w:p>
        </w:tc>
      </w:tr>
      <w:tr w:rsidR="00286159" w:rsidRPr="003415EB" w14:paraId="23670BDA" w14:textId="77777777" w:rsidTr="00286159">
        <w:trPr>
          <w:trHeight w:val="280"/>
        </w:trPr>
        <w:tc>
          <w:tcPr>
            <w:tcW w:w="2425" w:type="dxa"/>
            <w:tcBorders>
              <w:top w:val="nil"/>
              <w:left w:val="single" w:sz="4" w:space="0" w:color="auto"/>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06C82B49" w14:textId="77777777" w:rsidR="00286159" w:rsidRPr="003415EB" w:rsidRDefault="00286159" w:rsidP="00286159">
            <w:pPr>
              <w:rPr>
                <w:rFonts w:cs="Arial"/>
                <w:color w:val="000000"/>
                <w:sz w:val="20"/>
                <w:szCs w:val="20"/>
              </w:rPr>
            </w:pPr>
            <w:r w:rsidRPr="003415EB">
              <w:rPr>
                <w:rFonts w:cs="Arial"/>
                <w:color w:val="000000"/>
                <w:sz w:val="20"/>
                <w:szCs w:val="20"/>
              </w:rPr>
              <w:t>PENRT [MJ]</w:t>
            </w:r>
          </w:p>
        </w:tc>
        <w:tc>
          <w:tcPr>
            <w:tcW w:w="1294"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483137C1" w14:textId="77777777" w:rsidR="00286159" w:rsidRPr="003415EB" w:rsidRDefault="00286159" w:rsidP="00286159">
            <w:pPr>
              <w:jc w:val="right"/>
              <w:rPr>
                <w:rFonts w:cs="Arial"/>
                <w:color w:val="000000"/>
                <w:sz w:val="20"/>
                <w:szCs w:val="20"/>
              </w:rPr>
            </w:pPr>
            <w:r w:rsidRPr="003415EB">
              <w:rPr>
                <w:rFonts w:cs="Arial"/>
                <w:color w:val="000000"/>
                <w:sz w:val="20"/>
                <w:szCs w:val="20"/>
              </w:rPr>
              <w:t>4130</w:t>
            </w:r>
          </w:p>
        </w:tc>
        <w:tc>
          <w:tcPr>
            <w:tcW w:w="1390"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2334D5B6" w14:textId="6132491F" w:rsidR="00286159" w:rsidRPr="003415EB" w:rsidRDefault="00286159" w:rsidP="00286159">
            <w:pPr>
              <w:jc w:val="right"/>
              <w:rPr>
                <w:rFonts w:cs="Arial"/>
                <w:color w:val="000000"/>
                <w:sz w:val="20"/>
                <w:szCs w:val="20"/>
              </w:rPr>
            </w:pPr>
            <w:r w:rsidRPr="003415EB">
              <w:rPr>
                <w:rFonts w:cs="Arial"/>
                <w:color w:val="000000"/>
                <w:sz w:val="20"/>
                <w:szCs w:val="20"/>
              </w:rPr>
              <w:t>-632</w:t>
            </w:r>
          </w:p>
        </w:tc>
        <w:tc>
          <w:tcPr>
            <w:tcW w:w="1156"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3CF75E7D" w14:textId="612C06CC" w:rsidR="00286159" w:rsidRPr="003415EB" w:rsidRDefault="00286159" w:rsidP="00286159">
            <w:pPr>
              <w:jc w:val="right"/>
              <w:rPr>
                <w:rFonts w:cs="Arial"/>
                <w:color w:val="000000"/>
                <w:sz w:val="20"/>
                <w:szCs w:val="20"/>
              </w:rPr>
            </w:pPr>
            <w:r w:rsidRPr="003415EB">
              <w:rPr>
                <w:rFonts w:cs="Arial"/>
                <w:color w:val="000000"/>
                <w:sz w:val="20"/>
                <w:szCs w:val="20"/>
              </w:rPr>
              <w:t>-5315</w:t>
            </w:r>
          </w:p>
        </w:tc>
        <w:tc>
          <w:tcPr>
            <w:tcW w:w="850" w:type="dxa"/>
            <w:tcBorders>
              <w:top w:val="single" w:sz="4" w:space="0" w:color="auto"/>
              <w:bottom w:val="single" w:sz="4" w:space="0" w:color="auto"/>
              <w:right w:val="single" w:sz="4" w:space="0" w:color="auto"/>
            </w:tcBorders>
            <w:vAlign w:val="bottom"/>
          </w:tcPr>
          <w:p w14:paraId="78F0C42A" w14:textId="77777777" w:rsidR="00286159" w:rsidRPr="00B81D02" w:rsidRDefault="00286159" w:rsidP="00286159">
            <w:pPr>
              <w:jc w:val="right"/>
              <w:rPr>
                <w:rFonts w:cs="Arial"/>
                <w:sz w:val="20"/>
                <w:szCs w:val="20"/>
              </w:rPr>
            </w:pPr>
            <w:r w:rsidRPr="00B81D02">
              <w:rPr>
                <w:rFonts w:cs="Arial"/>
                <w:sz w:val="20"/>
                <w:szCs w:val="20"/>
              </w:rPr>
              <w:t>645</w:t>
            </w:r>
          </w:p>
        </w:tc>
        <w:tc>
          <w:tcPr>
            <w:tcW w:w="850" w:type="dxa"/>
            <w:tcBorders>
              <w:top w:val="single" w:sz="4" w:space="0" w:color="auto"/>
              <w:left w:val="single" w:sz="4" w:space="0" w:color="auto"/>
              <w:bottom w:val="single" w:sz="4" w:space="0" w:color="auto"/>
              <w:right w:val="single" w:sz="4" w:space="0" w:color="auto"/>
            </w:tcBorders>
            <w:vAlign w:val="bottom"/>
          </w:tcPr>
          <w:p w14:paraId="47A26888" w14:textId="710DA675" w:rsidR="00286159" w:rsidRPr="00B81D02" w:rsidRDefault="00286159" w:rsidP="00286159">
            <w:pPr>
              <w:jc w:val="right"/>
              <w:rPr>
                <w:rFonts w:cs="Arial"/>
                <w:sz w:val="20"/>
                <w:szCs w:val="20"/>
              </w:rPr>
            </w:pPr>
            <w:r w:rsidRPr="00B81D02">
              <w:rPr>
                <w:rFonts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bottom"/>
          </w:tcPr>
          <w:p w14:paraId="3C910B30" w14:textId="77777777" w:rsidR="00286159" w:rsidRPr="00B81D02" w:rsidRDefault="00286159" w:rsidP="00286159">
            <w:pPr>
              <w:jc w:val="right"/>
              <w:rPr>
                <w:rFonts w:cs="Arial"/>
                <w:sz w:val="20"/>
                <w:szCs w:val="20"/>
              </w:rPr>
            </w:pPr>
            <w:r w:rsidRPr="00B81D02">
              <w:rPr>
                <w:rFonts w:cs="Arial"/>
                <w:sz w:val="20"/>
                <w:szCs w:val="20"/>
              </w:rPr>
              <w:t>-5960</w:t>
            </w:r>
          </w:p>
        </w:tc>
      </w:tr>
      <w:tr w:rsidR="00286159" w:rsidRPr="003415EB" w14:paraId="4DD1FCD5" w14:textId="77777777" w:rsidTr="00286159">
        <w:trPr>
          <w:trHeight w:val="280"/>
        </w:trPr>
        <w:tc>
          <w:tcPr>
            <w:tcW w:w="2425" w:type="dxa"/>
            <w:tcBorders>
              <w:top w:val="nil"/>
              <w:left w:val="single" w:sz="4" w:space="0" w:color="auto"/>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433E74C0" w14:textId="77777777" w:rsidR="00286159" w:rsidRPr="003415EB" w:rsidRDefault="00286159" w:rsidP="00286159">
            <w:pPr>
              <w:rPr>
                <w:rFonts w:cs="Arial"/>
                <w:color w:val="000000"/>
                <w:sz w:val="20"/>
                <w:szCs w:val="20"/>
              </w:rPr>
            </w:pPr>
            <w:r>
              <w:rPr>
                <w:rFonts w:cs="Arial"/>
                <w:color w:val="000000"/>
                <w:sz w:val="20"/>
                <w:szCs w:val="20"/>
              </w:rPr>
              <w:t>Biogener Kohlenstoff [CO2-eq</w:t>
            </w:r>
            <w:r w:rsidRPr="003415EB">
              <w:rPr>
                <w:rFonts w:cs="Arial"/>
                <w:color w:val="000000"/>
                <w:sz w:val="20"/>
                <w:szCs w:val="20"/>
              </w:rPr>
              <w:t>]</w:t>
            </w:r>
          </w:p>
        </w:tc>
        <w:tc>
          <w:tcPr>
            <w:tcW w:w="1294"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4E11B953" w14:textId="77777777" w:rsidR="00286159" w:rsidRPr="00B81D02" w:rsidRDefault="00286159" w:rsidP="00286159">
            <w:pPr>
              <w:jc w:val="right"/>
              <w:rPr>
                <w:rFonts w:cs="Arial"/>
                <w:b/>
                <w:color w:val="000000"/>
                <w:sz w:val="20"/>
                <w:szCs w:val="20"/>
              </w:rPr>
            </w:pPr>
            <w:r w:rsidRPr="00B81D02">
              <w:rPr>
                <w:rFonts w:cs="Arial"/>
                <w:b/>
                <w:color w:val="000000"/>
                <w:sz w:val="20"/>
                <w:szCs w:val="20"/>
              </w:rPr>
              <w:t>-1063</w:t>
            </w:r>
          </w:p>
        </w:tc>
        <w:tc>
          <w:tcPr>
            <w:tcW w:w="1390"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18FF7B3F" w14:textId="77777777" w:rsidR="00286159" w:rsidRPr="00B81D02" w:rsidRDefault="00286159" w:rsidP="00286159">
            <w:pPr>
              <w:jc w:val="right"/>
              <w:rPr>
                <w:rFonts w:cs="Arial"/>
                <w:b/>
                <w:color w:val="000000"/>
                <w:sz w:val="20"/>
                <w:szCs w:val="20"/>
              </w:rPr>
            </w:pPr>
            <w:r w:rsidRPr="00B81D02">
              <w:rPr>
                <w:rFonts w:cs="Arial"/>
                <w:b/>
                <w:color w:val="000000"/>
                <w:sz w:val="20"/>
                <w:szCs w:val="20"/>
              </w:rPr>
              <w:t>1063</w:t>
            </w:r>
          </w:p>
        </w:tc>
        <w:tc>
          <w:tcPr>
            <w:tcW w:w="1156"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1C27EE6A" w14:textId="77777777" w:rsidR="00286159" w:rsidRPr="00B81D02" w:rsidRDefault="00286159" w:rsidP="00286159">
            <w:pPr>
              <w:jc w:val="right"/>
              <w:rPr>
                <w:rFonts w:cs="Arial"/>
                <w:b/>
                <w:color w:val="000000"/>
                <w:sz w:val="20"/>
                <w:szCs w:val="20"/>
              </w:rPr>
            </w:pPr>
            <w:r w:rsidRPr="00B81D02">
              <w:rPr>
                <w:rFonts w:cs="Arial"/>
                <w:b/>
                <w:color w:val="000000"/>
                <w:sz w:val="20"/>
                <w:szCs w:val="20"/>
              </w:rPr>
              <w:t> 0</w:t>
            </w:r>
          </w:p>
        </w:tc>
        <w:tc>
          <w:tcPr>
            <w:tcW w:w="850" w:type="dxa"/>
            <w:tcBorders>
              <w:top w:val="single" w:sz="4" w:space="0" w:color="auto"/>
              <w:bottom w:val="single" w:sz="4" w:space="0" w:color="auto"/>
              <w:right w:val="single" w:sz="4" w:space="0" w:color="auto"/>
            </w:tcBorders>
            <w:vAlign w:val="bottom"/>
          </w:tcPr>
          <w:p w14:paraId="42F219C5" w14:textId="77777777" w:rsidR="00286159" w:rsidRPr="00B81D02" w:rsidRDefault="00286159" w:rsidP="00286159">
            <w:pPr>
              <w:jc w:val="right"/>
              <w:rPr>
                <w:rFonts w:cs="Arial"/>
                <w:sz w:val="20"/>
                <w:szCs w:val="20"/>
              </w:rPr>
            </w:pPr>
            <w:r w:rsidRPr="00B81D02">
              <w:rPr>
                <w:rFonts w:cs="Arial"/>
                <w:sz w:val="20"/>
                <w:szCs w:val="20"/>
              </w:rPr>
              <w:t>-1063</w:t>
            </w:r>
          </w:p>
        </w:tc>
        <w:tc>
          <w:tcPr>
            <w:tcW w:w="850" w:type="dxa"/>
            <w:tcBorders>
              <w:top w:val="single" w:sz="4" w:space="0" w:color="auto"/>
              <w:left w:val="single" w:sz="4" w:space="0" w:color="auto"/>
              <w:bottom w:val="single" w:sz="4" w:space="0" w:color="auto"/>
              <w:right w:val="single" w:sz="4" w:space="0" w:color="auto"/>
            </w:tcBorders>
            <w:vAlign w:val="bottom"/>
          </w:tcPr>
          <w:p w14:paraId="5CD37C6C" w14:textId="77777777" w:rsidR="00286159" w:rsidRPr="00B81D02" w:rsidRDefault="00286159" w:rsidP="00286159">
            <w:pPr>
              <w:jc w:val="right"/>
              <w:rPr>
                <w:rFonts w:cs="Arial"/>
                <w:sz w:val="20"/>
                <w:szCs w:val="20"/>
              </w:rPr>
            </w:pPr>
            <w:r w:rsidRPr="00B81D02">
              <w:rPr>
                <w:rFonts w:cs="Arial"/>
                <w:sz w:val="20"/>
                <w:szCs w:val="20"/>
              </w:rPr>
              <w:t>1063</w:t>
            </w:r>
          </w:p>
        </w:tc>
        <w:tc>
          <w:tcPr>
            <w:tcW w:w="850" w:type="dxa"/>
            <w:tcBorders>
              <w:top w:val="single" w:sz="4" w:space="0" w:color="auto"/>
              <w:left w:val="single" w:sz="4" w:space="0" w:color="auto"/>
              <w:bottom w:val="single" w:sz="4" w:space="0" w:color="auto"/>
              <w:right w:val="single" w:sz="4" w:space="0" w:color="auto"/>
            </w:tcBorders>
            <w:vAlign w:val="bottom"/>
          </w:tcPr>
          <w:p w14:paraId="38591D9E" w14:textId="77777777" w:rsidR="00286159" w:rsidRPr="00B81D02" w:rsidRDefault="00286159" w:rsidP="00286159">
            <w:pPr>
              <w:jc w:val="right"/>
              <w:rPr>
                <w:rFonts w:cs="Arial"/>
                <w:sz w:val="20"/>
                <w:szCs w:val="20"/>
              </w:rPr>
            </w:pPr>
            <w:r w:rsidRPr="00B81D02">
              <w:rPr>
                <w:rFonts w:cs="Arial"/>
                <w:sz w:val="20"/>
                <w:szCs w:val="20"/>
              </w:rPr>
              <w:t> </w:t>
            </w:r>
          </w:p>
        </w:tc>
      </w:tr>
      <w:tr w:rsidR="00286159" w:rsidRPr="003415EB" w14:paraId="7F18B4F6" w14:textId="77777777" w:rsidTr="00286159">
        <w:trPr>
          <w:trHeight w:val="280"/>
        </w:trPr>
        <w:tc>
          <w:tcPr>
            <w:tcW w:w="2425" w:type="dxa"/>
            <w:tcBorders>
              <w:top w:val="nil"/>
              <w:left w:val="single" w:sz="4" w:space="0" w:color="auto"/>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0BDD4755" w14:textId="77777777" w:rsidR="00286159" w:rsidRPr="003415EB" w:rsidRDefault="00286159" w:rsidP="00286159">
            <w:pPr>
              <w:rPr>
                <w:rFonts w:cs="Arial"/>
                <w:color w:val="000000"/>
                <w:sz w:val="20"/>
                <w:szCs w:val="20"/>
              </w:rPr>
            </w:pPr>
            <w:r w:rsidRPr="003415EB">
              <w:rPr>
                <w:rFonts w:cs="Arial"/>
                <w:color w:val="000000"/>
                <w:sz w:val="20"/>
                <w:szCs w:val="20"/>
              </w:rPr>
              <w:t>GWP total  [CO2-</w:t>
            </w:r>
            <w:r>
              <w:rPr>
                <w:rFonts w:cs="Arial"/>
                <w:color w:val="000000"/>
                <w:sz w:val="20"/>
                <w:szCs w:val="20"/>
              </w:rPr>
              <w:t>eq</w:t>
            </w:r>
            <w:r w:rsidRPr="003415EB">
              <w:rPr>
                <w:rFonts w:cs="Arial"/>
                <w:color w:val="000000"/>
                <w:sz w:val="20"/>
                <w:szCs w:val="20"/>
              </w:rPr>
              <w:t>]</w:t>
            </w:r>
          </w:p>
        </w:tc>
        <w:tc>
          <w:tcPr>
            <w:tcW w:w="1294"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43063416" w14:textId="77777777" w:rsidR="00286159" w:rsidRPr="003415EB" w:rsidRDefault="00286159" w:rsidP="00286159">
            <w:pPr>
              <w:jc w:val="right"/>
              <w:rPr>
                <w:rFonts w:cs="Arial"/>
                <w:color w:val="000000"/>
                <w:sz w:val="20"/>
                <w:szCs w:val="20"/>
              </w:rPr>
            </w:pPr>
            <w:r w:rsidRPr="003415EB">
              <w:rPr>
                <w:rFonts w:cs="Arial"/>
                <w:color w:val="000000"/>
                <w:sz w:val="20"/>
                <w:szCs w:val="20"/>
              </w:rPr>
              <w:t>-812</w:t>
            </w:r>
          </w:p>
        </w:tc>
        <w:tc>
          <w:tcPr>
            <w:tcW w:w="1390"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60091046" w14:textId="33B7DB5A" w:rsidR="00286159" w:rsidRPr="003415EB" w:rsidRDefault="00286159" w:rsidP="00286159">
            <w:pPr>
              <w:jc w:val="right"/>
              <w:rPr>
                <w:rFonts w:cs="Arial"/>
                <w:color w:val="000000"/>
                <w:sz w:val="20"/>
                <w:szCs w:val="20"/>
              </w:rPr>
            </w:pPr>
            <w:r w:rsidRPr="003415EB">
              <w:rPr>
                <w:rFonts w:cs="Arial"/>
                <w:color w:val="000000"/>
                <w:sz w:val="20"/>
                <w:szCs w:val="20"/>
              </w:rPr>
              <w:t>1065</w:t>
            </w:r>
          </w:p>
        </w:tc>
        <w:tc>
          <w:tcPr>
            <w:tcW w:w="1156" w:type="dxa"/>
            <w:tcBorders>
              <w:top w:val="nil"/>
              <w:left w:val="nil"/>
              <w:bottom w:val="single" w:sz="4" w:space="0" w:color="auto"/>
              <w:right w:val="single" w:sz="4" w:space="0" w:color="auto"/>
            </w:tcBorders>
            <w:shd w:val="clear" w:color="000000" w:fill="FFC000"/>
            <w:noWrap/>
            <w:tcMar>
              <w:top w:w="15" w:type="dxa"/>
              <w:left w:w="15" w:type="dxa"/>
              <w:bottom w:w="0" w:type="dxa"/>
              <w:right w:w="15" w:type="dxa"/>
            </w:tcMar>
            <w:vAlign w:val="bottom"/>
            <w:hideMark/>
          </w:tcPr>
          <w:p w14:paraId="56C236ED" w14:textId="2F66E77C" w:rsidR="00286159" w:rsidRPr="003415EB" w:rsidRDefault="00286159" w:rsidP="00286159">
            <w:pPr>
              <w:jc w:val="right"/>
              <w:rPr>
                <w:rFonts w:cs="Arial"/>
                <w:color w:val="000000"/>
                <w:sz w:val="20"/>
                <w:szCs w:val="20"/>
              </w:rPr>
            </w:pPr>
            <w:r w:rsidRPr="003415EB">
              <w:rPr>
                <w:rFonts w:cs="Arial"/>
                <w:color w:val="000000"/>
                <w:sz w:val="20"/>
                <w:szCs w:val="20"/>
              </w:rPr>
              <w:t> </w:t>
            </w:r>
            <w:r>
              <w:rPr>
                <w:rFonts w:cs="Arial"/>
                <w:color w:val="000000"/>
                <w:sz w:val="20"/>
                <w:szCs w:val="20"/>
              </w:rPr>
              <w:t>-560</w:t>
            </w:r>
          </w:p>
        </w:tc>
        <w:tc>
          <w:tcPr>
            <w:tcW w:w="850" w:type="dxa"/>
            <w:tcBorders>
              <w:top w:val="single" w:sz="4" w:space="0" w:color="auto"/>
              <w:bottom w:val="single" w:sz="4" w:space="0" w:color="auto"/>
              <w:right w:val="single" w:sz="4" w:space="0" w:color="auto"/>
            </w:tcBorders>
            <w:vAlign w:val="bottom"/>
          </w:tcPr>
          <w:p w14:paraId="73C218B5" w14:textId="77777777" w:rsidR="00286159" w:rsidRPr="00B81D02" w:rsidRDefault="00286159" w:rsidP="00286159">
            <w:pPr>
              <w:jc w:val="right"/>
              <w:rPr>
                <w:rFonts w:cs="Arial"/>
                <w:sz w:val="20"/>
                <w:szCs w:val="20"/>
              </w:rPr>
            </w:pPr>
            <w:r w:rsidRPr="00B81D02">
              <w:rPr>
                <w:rFonts w:cs="Arial"/>
                <w:sz w:val="20"/>
                <w:szCs w:val="20"/>
              </w:rPr>
              <w:t>0</w:t>
            </w:r>
          </w:p>
        </w:tc>
        <w:tc>
          <w:tcPr>
            <w:tcW w:w="850" w:type="dxa"/>
            <w:tcBorders>
              <w:top w:val="single" w:sz="4" w:space="0" w:color="auto"/>
              <w:left w:val="single" w:sz="4" w:space="0" w:color="auto"/>
              <w:bottom w:val="single" w:sz="4" w:space="0" w:color="auto"/>
              <w:right w:val="single" w:sz="4" w:space="0" w:color="auto"/>
            </w:tcBorders>
            <w:vAlign w:val="bottom"/>
          </w:tcPr>
          <w:p w14:paraId="783AC632" w14:textId="19CB4715" w:rsidR="00286159" w:rsidRPr="00B81D02" w:rsidRDefault="00286159" w:rsidP="00286159">
            <w:pPr>
              <w:jc w:val="right"/>
              <w:rPr>
                <w:rFonts w:cs="Arial"/>
                <w:sz w:val="20"/>
                <w:szCs w:val="20"/>
              </w:rPr>
            </w:pPr>
            <w:r w:rsidRPr="00B81D02">
              <w:rPr>
                <w:rFonts w:cs="Arial"/>
                <w:sz w:val="20"/>
                <w:szCs w:val="20"/>
              </w:rPr>
              <w:t>90</w:t>
            </w:r>
          </w:p>
        </w:tc>
        <w:tc>
          <w:tcPr>
            <w:tcW w:w="850" w:type="dxa"/>
            <w:tcBorders>
              <w:top w:val="single" w:sz="4" w:space="0" w:color="auto"/>
              <w:left w:val="single" w:sz="4" w:space="0" w:color="auto"/>
              <w:bottom w:val="single" w:sz="4" w:space="0" w:color="auto"/>
              <w:right w:val="single" w:sz="4" w:space="0" w:color="auto"/>
            </w:tcBorders>
            <w:vAlign w:val="bottom"/>
          </w:tcPr>
          <w:p w14:paraId="01D2627B" w14:textId="77777777" w:rsidR="00286159" w:rsidRPr="00B81D02" w:rsidRDefault="00286159" w:rsidP="00286159">
            <w:pPr>
              <w:jc w:val="right"/>
              <w:rPr>
                <w:rFonts w:cs="Arial"/>
                <w:sz w:val="20"/>
                <w:szCs w:val="20"/>
              </w:rPr>
            </w:pPr>
            <w:r w:rsidRPr="00B81D02">
              <w:rPr>
                <w:rFonts w:cs="Arial"/>
                <w:sz w:val="20"/>
                <w:szCs w:val="20"/>
              </w:rPr>
              <w:t>-650</w:t>
            </w:r>
          </w:p>
        </w:tc>
      </w:tr>
    </w:tbl>
    <w:p w14:paraId="71E34EFB" w14:textId="77777777" w:rsidR="00B81D02" w:rsidRPr="00DA5A11" w:rsidRDefault="001C37AA" w:rsidP="00DA5A11">
      <w:pPr>
        <w:rPr>
          <w:w w:val="103"/>
          <w:sz w:val="18"/>
          <w:szCs w:val="18"/>
        </w:rPr>
      </w:pPr>
      <w:r w:rsidRPr="00DA5A11">
        <w:rPr>
          <w:w w:val="103"/>
          <w:sz w:val="18"/>
          <w:szCs w:val="18"/>
        </w:rPr>
        <w:t>*) Dient n</w:t>
      </w:r>
      <w:r w:rsidR="00B81D02" w:rsidRPr="00DA5A11">
        <w:rPr>
          <w:w w:val="103"/>
          <w:sz w:val="18"/>
          <w:szCs w:val="18"/>
        </w:rPr>
        <w:t>ur zur Erläuterung: D1 Material wird übernom</w:t>
      </w:r>
      <w:r w:rsidRPr="00DA5A11">
        <w:rPr>
          <w:w w:val="103"/>
          <w:sz w:val="18"/>
          <w:szCs w:val="18"/>
        </w:rPr>
        <w:t xml:space="preserve">men. D2 Material wird verbrannt, </w:t>
      </w:r>
      <w:r w:rsidR="00B81D02" w:rsidRPr="00DA5A11">
        <w:rPr>
          <w:w w:val="103"/>
          <w:sz w:val="18"/>
          <w:szCs w:val="18"/>
        </w:rPr>
        <w:t>D3 Energie wird substituiert.</w:t>
      </w:r>
    </w:p>
    <w:p w14:paraId="2EC160E4" w14:textId="77777777" w:rsidR="00B81D02" w:rsidRPr="00AE1C12" w:rsidRDefault="00B81D02" w:rsidP="00AE1C12">
      <w:pPr>
        <w:spacing w:line="240" w:lineRule="auto"/>
        <w:rPr>
          <w:w w:val="103"/>
          <w:sz w:val="16"/>
          <w:szCs w:val="16"/>
        </w:rPr>
      </w:pPr>
    </w:p>
    <w:tbl>
      <w:tblPr>
        <w:tblpPr w:leftFromText="141" w:rightFromText="141" w:vertAnchor="text" w:tblpY="1"/>
        <w:tblOverlap w:val="never"/>
        <w:tblW w:w="8926" w:type="dxa"/>
        <w:tblLayout w:type="fixed"/>
        <w:tblCellMar>
          <w:left w:w="0" w:type="dxa"/>
          <w:right w:w="0" w:type="dxa"/>
        </w:tblCellMar>
        <w:tblLook w:val="04A0" w:firstRow="1" w:lastRow="0" w:firstColumn="1" w:lastColumn="0" w:noHBand="0" w:noVBand="1"/>
      </w:tblPr>
      <w:tblGrid>
        <w:gridCol w:w="6799"/>
        <w:gridCol w:w="1134"/>
        <w:gridCol w:w="993"/>
      </w:tblGrid>
      <w:tr w:rsidR="00B81D02" w:rsidRPr="003415EB" w14:paraId="70731759" w14:textId="77777777" w:rsidTr="00C21088">
        <w:trPr>
          <w:trHeight w:val="280"/>
        </w:trPr>
        <w:tc>
          <w:tcPr>
            <w:tcW w:w="67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4B352D" w14:textId="77777777" w:rsidR="00B81D02" w:rsidRPr="003415EB" w:rsidRDefault="00B81D02" w:rsidP="00C21088">
            <w:pPr>
              <w:rPr>
                <w:rFonts w:cs="Arial"/>
                <w:sz w:val="20"/>
                <w:szCs w:val="20"/>
              </w:rPr>
            </w:pPr>
            <w:r w:rsidRPr="003415EB">
              <w:rPr>
                <w:rFonts w:cs="Arial"/>
                <w:b/>
                <w:bCs/>
                <w:sz w:val="20"/>
                <w:szCs w:val="20"/>
              </w:rPr>
              <w:t xml:space="preserve">Basisdaten für </w:t>
            </w:r>
            <w:r>
              <w:rPr>
                <w:rFonts w:cs="Arial"/>
                <w:b/>
                <w:bCs/>
                <w:sz w:val="20"/>
                <w:szCs w:val="20"/>
              </w:rPr>
              <w:t xml:space="preserve">die </w:t>
            </w:r>
            <w:r w:rsidRPr="003415EB">
              <w:rPr>
                <w:rFonts w:cs="Arial"/>
                <w:b/>
                <w:bCs/>
                <w:sz w:val="20"/>
                <w:szCs w:val="20"/>
              </w:rPr>
              <w:t>Berechnung</w:t>
            </w:r>
          </w:p>
        </w:tc>
        <w:tc>
          <w:tcPr>
            <w:tcW w:w="1134" w:type="dxa"/>
            <w:tcBorders>
              <w:top w:val="single" w:sz="4" w:space="0" w:color="auto"/>
              <w:left w:val="nil"/>
              <w:bottom w:val="single" w:sz="4" w:space="0" w:color="auto"/>
              <w:right w:val="single" w:sz="4" w:space="0" w:color="auto"/>
            </w:tcBorders>
            <w:vAlign w:val="bottom"/>
          </w:tcPr>
          <w:p w14:paraId="7943EDF0" w14:textId="77777777" w:rsidR="00B81D02" w:rsidRPr="003415EB" w:rsidRDefault="00B81D02" w:rsidP="00C21088">
            <w:pPr>
              <w:jc w:val="center"/>
              <w:rPr>
                <w:rFonts w:cs="Arial"/>
                <w:sz w:val="20"/>
                <w:szCs w:val="20"/>
              </w:rPr>
            </w:pPr>
            <w:r>
              <w:rPr>
                <w:rFonts w:cs="Arial"/>
                <w:sz w:val="20"/>
                <w:szCs w:val="20"/>
              </w:rPr>
              <w:t>Einheit</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E0C1449" w14:textId="10C96F69" w:rsidR="00B81D02" w:rsidRPr="003415EB" w:rsidRDefault="00281626" w:rsidP="00C21088">
            <w:pPr>
              <w:jc w:val="center"/>
              <w:rPr>
                <w:rFonts w:cs="Arial"/>
                <w:sz w:val="20"/>
                <w:szCs w:val="20"/>
              </w:rPr>
            </w:pPr>
            <w:r>
              <w:rPr>
                <w:rFonts w:cs="Arial"/>
                <w:sz w:val="20"/>
                <w:szCs w:val="20"/>
              </w:rPr>
              <w:t>Wert</w:t>
            </w:r>
          </w:p>
        </w:tc>
      </w:tr>
      <w:tr w:rsidR="00B81D02" w:rsidRPr="003415EB" w14:paraId="4A7BD3DE"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3A194" w14:textId="58DD33C5" w:rsidR="00B81D02" w:rsidRPr="003415EB" w:rsidRDefault="00B81D02" w:rsidP="00C21088">
            <w:pPr>
              <w:rPr>
                <w:rFonts w:cs="Arial"/>
                <w:sz w:val="20"/>
                <w:szCs w:val="20"/>
              </w:rPr>
            </w:pPr>
            <w:r w:rsidRPr="003415EB">
              <w:rPr>
                <w:rFonts w:cs="Arial"/>
                <w:sz w:val="20"/>
                <w:szCs w:val="20"/>
              </w:rPr>
              <w:t xml:space="preserve">PERT (C Aufwand für </w:t>
            </w:r>
            <w:r w:rsidR="00501F64">
              <w:rPr>
                <w:rFonts w:cs="Arial"/>
                <w:sz w:val="20"/>
                <w:szCs w:val="20"/>
              </w:rPr>
              <w:t xml:space="preserve">Sortierung und </w:t>
            </w:r>
            <w:r w:rsidR="00FE0585">
              <w:rPr>
                <w:rFonts w:cs="Arial"/>
                <w:sz w:val="20"/>
                <w:szCs w:val="20"/>
              </w:rPr>
              <w:t>Aufbereitung</w:t>
            </w:r>
            <w:r w:rsidR="00E4441B">
              <w:rPr>
                <w:rFonts w:cs="Arial"/>
                <w:sz w:val="20"/>
                <w:szCs w:val="20"/>
              </w:rPr>
              <w:t xml:space="preserve"> bis Ende der Abfalleigenschaften</w:t>
            </w:r>
            <w:r w:rsidRPr="003415EB">
              <w:rPr>
                <w:rFonts w:cs="Arial"/>
                <w:sz w:val="20"/>
                <w:szCs w:val="20"/>
              </w:rPr>
              <w:t>)</w:t>
            </w:r>
          </w:p>
        </w:tc>
        <w:tc>
          <w:tcPr>
            <w:tcW w:w="1134" w:type="dxa"/>
            <w:tcBorders>
              <w:top w:val="single" w:sz="4" w:space="0" w:color="auto"/>
              <w:left w:val="nil"/>
              <w:bottom w:val="single" w:sz="4" w:space="0" w:color="auto"/>
              <w:right w:val="single" w:sz="4" w:space="0" w:color="auto"/>
            </w:tcBorders>
            <w:vAlign w:val="bottom"/>
          </w:tcPr>
          <w:p w14:paraId="456A6223" w14:textId="77777777" w:rsidR="00B81D02" w:rsidRPr="003415EB" w:rsidRDefault="00B81D02" w:rsidP="00C21088">
            <w:pPr>
              <w:jc w:val="center"/>
              <w:rPr>
                <w:rFonts w:cs="Arial"/>
                <w:sz w:val="20"/>
                <w:szCs w:val="20"/>
              </w:rPr>
            </w:pPr>
            <w:r>
              <w:rPr>
                <w:rFonts w:cs="Arial"/>
                <w:sz w:val="20"/>
                <w:szCs w:val="20"/>
              </w:rPr>
              <w:t>MJ</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3BB79" w14:textId="77777777" w:rsidR="00B81D02" w:rsidRPr="003415EB" w:rsidRDefault="00B81D02" w:rsidP="00C21088">
            <w:pPr>
              <w:jc w:val="center"/>
              <w:rPr>
                <w:rFonts w:cs="Arial"/>
                <w:sz w:val="20"/>
                <w:szCs w:val="20"/>
              </w:rPr>
            </w:pPr>
            <w:r w:rsidRPr="003415EB">
              <w:rPr>
                <w:rFonts w:cs="Arial"/>
                <w:sz w:val="20"/>
                <w:szCs w:val="20"/>
              </w:rPr>
              <w:t>8</w:t>
            </w:r>
          </w:p>
        </w:tc>
      </w:tr>
      <w:tr w:rsidR="00B81D02" w:rsidRPr="003415EB" w14:paraId="3E35A455"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BCD5C" w14:textId="3917FD8F" w:rsidR="00B81D02" w:rsidRPr="003415EB" w:rsidRDefault="00B81D02" w:rsidP="00C21088">
            <w:pPr>
              <w:rPr>
                <w:rFonts w:cs="Arial"/>
                <w:sz w:val="20"/>
                <w:szCs w:val="20"/>
              </w:rPr>
            </w:pPr>
            <w:r w:rsidRPr="003415EB">
              <w:rPr>
                <w:rFonts w:cs="Arial"/>
                <w:sz w:val="20"/>
                <w:szCs w:val="20"/>
              </w:rPr>
              <w:t xml:space="preserve">PENRT (C Aufwand für </w:t>
            </w:r>
            <w:r w:rsidR="00501F64">
              <w:rPr>
                <w:rFonts w:cs="Arial"/>
                <w:sz w:val="20"/>
                <w:szCs w:val="20"/>
              </w:rPr>
              <w:t xml:space="preserve">Sortierung und </w:t>
            </w:r>
            <w:r w:rsidR="00FE0585">
              <w:rPr>
                <w:rFonts w:cs="Arial"/>
                <w:sz w:val="20"/>
                <w:szCs w:val="20"/>
              </w:rPr>
              <w:t>Aufbereitung</w:t>
            </w:r>
            <w:r w:rsidR="00E4441B">
              <w:rPr>
                <w:rFonts w:cs="Arial"/>
                <w:sz w:val="20"/>
                <w:szCs w:val="20"/>
              </w:rPr>
              <w:t xml:space="preserve"> bis Ende der Abfalleigenschaften</w:t>
            </w:r>
            <w:r w:rsidRPr="003415EB">
              <w:rPr>
                <w:rFonts w:cs="Arial"/>
                <w:sz w:val="20"/>
                <w:szCs w:val="20"/>
              </w:rPr>
              <w:t>)</w:t>
            </w:r>
          </w:p>
        </w:tc>
        <w:tc>
          <w:tcPr>
            <w:tcW w:w="1134" w:type="dxa"/>
            <w:tcBorders>
              <w:top w:val="single" w:sz="4" w:space="0" w:color="auto"/>
              <w:left w:val="nil"/>
              <w:bottom w:val="single" w:sz="4" w:space="0" w:color="auto"/>
              <w:right w:val="single" w:sz="4" w:space="0" w:color="auto"/>
            </w:tcBorders>
            <w:vAlign w:val="bottom"/>
          </w:tcPr>
          <w:p w14:paraId="2781F081" w14:textId="77777777" w:rsidR="00B81D02" w:rsidRPr="003415EB" w:rsidRDefault="00B81D02" w:rsidP="00C21088">
            <w:pPr>
              <w:jc w:val="center"/>
              <w:rPr>
                <w:rFonts w:cs="Arial"/>
                <w:sz w:val="20"/>
                <w:szCs w:val="20"/>
              </w:rPr>
            </w:pPr>
            <w:r>
              <w:rPr>
                <w:rFonts w:cs="Arial"/>
                <w:sz w:val="20"/>
                <w:szCs w:val="20"/>
              </w:rPr>
              <w:t>MJ</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F4538A" w14:textId="77777777" w:rsidR="00B81D02" w:rsidRPr="003415EB" w:rsidRDefault="00B81D02" w:rsidP="00C21088">
            <w:pPr>
              <w:jc w:val="center"/>
              <w:rPr>
                <w:rFonts w:cs="Arial"/>
                <w:sz w:val="20"/>
                <w:szCs w:val="20"/>
              </w:rPr>
            </w:pPr>
            <w:r w:rsidRPr="003415EB">
              <w:rPr>
                <w:rFonts w:cs="Arial"/>
                <w:sz w:val="20"/>
                <w:szCs w:val="20"/>
              </w:rPr>
              <w:t>13</w:t>
            </w:r>
          </w:p>
        </w:tc>
      </w:tr>
      <w:tr w:rsidR="00B81D02" w:rsidRPr="003415EB" w14:paraId="09F6E097"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EE2A7F" w14:textId="77777777" w:rsidR="00B81D02" w:rsidRPr="003415EB" w:rsidRDefault="00B81D02" w:rsidP="00C21088">
            <w:pPr>
              <w:rPr>
                <w:rFonts w:cs="Arial"/>
                <w:sz w:val="20"/>
                <w:szCs w:val="20"/>
              </w:rPr>
            </w:pPr>
            <w:r w:rsidRPr="003415EB">
              <w:rPr>
                <w:rFonts w:cs="Arial"/>
                <w:sz w:val="20"/>
                <w:szCs w:val="20"/>
              </w:rPr>
              <w:t>PERT (D Vermiedene Auswirkungen)</w:t>
            </w:r>
          </w:p>
        </w:tc>
        <w:tc>
          <w:tcPr>
            <w:tcW w:w="1134" w:type="dxa"/>
            <w:tcBorders>
              <w:top w:val="single" w:sz="4" w:space="0" w:color="auto"/>
              <w:left w:val="nil"/>
              <w:bottom w:val="single" w:sz="4" w:space="0" w:color="auto"/>
              <w:right w:val="single" w:sz="4" w:space="0" w:color="auto"/>
            </w:tcBorders>
            <w:vAlign w:val="bottom"/>
          </w:tcPr>
          <w:p w14:paraId="0DE106E8" w14:textId="77777777" w:rsidR="00B81D02" w:rsidRPr="003415EB" w:rsidRDefault="00B81D02" w:rsidP="00C21088">
            <w:pPr>
              <w:jc w:val="center"/>
              <w:rPr>
                <w:rFonts w:cs="Arial"/>
                <w:sz w:val="20"/>
                <w:szCs w:val="20"/>
              </w:rPr>
            </w:pPr>
            <w:r>
              <w:rPr>
                <w:rFonts w:cs="Arial"/>
                <w:sz w:val="20"/>
                <w:szCs w:val="20"/>
              </w:rPr>
              <w:t>MJ</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D2B1AD" w14:textId="77777777" w:rsidR="00B81D02" w:rsidRPr="003415EB" w:rsidRDefault="00B81D02" w:rsidP="00C21088">
            <w:pPr>
              <w:jc w:val="center"/>
              <w:rPr>
                <w:rFonts w:cs="Arial"/>
                <w:sz w:val="20"/>
                <w:szCs w:val="20"/>
              </w:rPr>
            </w:pPr>
            <w:r w:rsidRPr="003415EB">
              <w:rPr>
                <w:rFonts w:cs="Arial"/>
                <w:sz w:val="20"/>
                <w:szCs w:val="20"/>
              </w:rPr>
              <w:t>-1650</w:t>
            </w:r>
          </w:p>
        </w:tc>
      </w:tr>
      <w:tr w:rsidR="00B81D02" w:rsidRPr="003415EB" w14:paraId="51796FE1"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12B0CF" w14:textId="77777777" w:rsidR="00B81D02" w:rsidRPr="003415EB" w:rsidRDefault="00B81D02" w:rsidP="00C21088">
            <w:pPr>
              <w:rPr>
                <w:rFonts w:cs="Arial"/>
                <w:sz w:val="20"/>
                <w:szCs w:val="20"/>
              </w:rPr>
            </w:pPr>
            <w:r w:rsidRPr="003415EB">
              <w:rPr>
                <w:rFonts w:cs="Arial"/>
                <w:sz w:val="20"/>
                <w:szCs w:val="20"/>
              </w:rPr>
              <w:t>PENRT (D Vermiedene Auswirkungen)</w:t>
            </w:r>
          </w:p>
        </w:tc>
        <w:tc>
          <w:tcPr>
            <w:tcW w:w="1134" w:type="dxa"/>
            <w:tcBorders>
              <w:top w:val="single" w:sz="4" w:space="0" w:color="auto"/>
              <w:left w:val="nil"/>
              <w:bottom w:val="single" w:sz="4" w:space="0" w:color="auto"/>
              <w:right w:val="single" w:sz="4" w:space="0" w:color="auto"/>
            </w:tcBorders>
            <w:vAlign w:val="bottom"/>
          </w:tcPr>
          <w:p w14:paraId="6B15D8A0" w14:textId="77777777" w:rsidR="00B81D02" w:rsidRPr="003415EB" w:rsidRDefault="00B81D02" w:rsidP="00C21088">
            <w:pPr>
              <w:jc w:val="center"/>
              <w:rPr>
                <w:rFonts w:cs="Arial"/>
                <w:sz w:val="20"/>
                <w:szCs w:val="20"/>
              </w:rPr>
            </w:pPr>
            <w:r>
              <w:rPr>
                <w:rFonts w:cs="Arial"/>
                <w:sz w:val="20"/>
                <w:szCs w:val="20"/>
              </w:rPr>
              <w:t>MJ</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2473C0" w14:textId="77777777" w:rsidR="00B81D02" w:rsidRPr="003415EB" w:rsidRDefault="00B81D02" w:rsidP="00C21088">
            <w:pPr>
              <w:jc w:val="center"/>
              <w:rPr>
                <w:rFonts w:cs="Arial"/>
                <w:sz w:val="20"/>
                <w:szCs w:val="20"/>
              </w:rPr>
            </w:pPr>
            <w:r w:rsidRPr="003415EB">
              <w:rPr>
                <w:rFonts w:cs="Arial"/>
                <w:sz w:val="20"/>
                <w:szCs w:val="20"/>
              </w:rPr>
              <w:t>-5960</w:t>
            </w:r>
          </w:p>
        </w:tc>
      </w:tr>
      <w:tr w:rsidR="00B81D02" w:rsidRPr="003415EB" w14:paraId="790022BA"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C5F07E" w14:textId="77777777" w:rsidR="00B81D02" w:rsidRPr="003415EB" w:rsidRDefault="00B81D02" w:rsidP="00C21088">
            <w:pPr>
              <w:rPr>
                <w:rFonts w:cs="Arial"/>
                <w:sz w:val="20"/>
                <w:szCs w:val="20"/>
              </w:rPr>
            </w:pPr>
            <w:r w:rsidRPr="003415EB">
              <w:rPr>
                <w:rFonts w:cs="Arial"/>
                <w:sz w:val="20"/>
                <w:szCs w:val="20"/>
              </w:rPr>
              <w:t>PERM (Holzanteil)</w:t>
            </w:r>
          </w:p>
        </w:tc>
        <w:tc>
          <w:tcPr>
            <w:tcW w:w="1134" w:type="dxa"/>
            <w:tcBorders>
              <w:top w:val="single" w:sz="4" w:space="0" w:color="auto"/>
              <w:left w:val="nil"/>
              <w:bottom w:val="single" w:sz="4" w:space="0" w:color="auto"/>
              <w:right w:val="single" w:sz="4" w:space="0" w:color="auto"/>
            </w:tcBorders>
            <w:vAlign w:val="bottom"/>
          </w:tcPr>
          <w:p w14:paraId="56A7DEE0" w14:textId="77777777" w:rsidR="00B81D02" w:rsidRPr="003415EB" w:rsidRDefault="00B81D02" w:rsidP="00C21088">
            <w:pPr>
              <w:jc w:val="center"/>
              <w:rPr>
                <w:rFonts w:cs="Arial"/>
                <w:sz w:val="20"/>
                <w:szCs w:val="20"/>
              </w:rPr>
            </w:pPr>
            <w:r>
              <w:rPr>
                <w:rFonts w:cs="Arial"/>
                <w:sz w:val="20"/>
                <w:szCs w:val="20"/>
              </w:rPr>
              <w:t>MJ</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E0DB2" w14:textId="77777777" w:rsidR="00B81D02" w:rsidRPr="003415EB" w:rsidRDefault="00B81D02" w:rsidP="00C21088">
            <w:pPr>
              <w:jc w:val="center"/>
              <w:rPr>
                <w:rFonts w:cs="Arial"/>
                <w:sz w:val="20"/>
                <w:szCs w:val="20"/>
              </w:rPr>
            </w:pPr>
            <w:r w:rsidRPr="003415EB">
              <w:rPr>
                <w:rFonts w:cs="Arial"/>
                <w:sz w:val="20"/>
                <w:szCs w:val="20"/>
              </w:rPr>
              <w:t>11000</w:t>
            </w:r>
          </w:p>
        </w:tc>
      </w:tr>
      <w:tr w:rsidR="00B81D02" w:rsidRPr="003415EB" w14:paraId="30CDB37C"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413B33" w14:textId="77777777" w:rsidR="00B81D02" w:rsidRPr="003415EB" w:rsidRDefault="00B81D02" w:rsidP="00C21088">
            <w:pPr>
              <w:rPr>
                <w:rFonts w:cs="Arial"/>
                <w:sz w:val="20"/>
                <w:szCs w:val="20"/>
              </w:rPr>
            </w:pPr>
            <w:r w:rsidRPr="003415EB">
              <w:rPr>
                <w:rFonts w:cs="Arial"/>
                <w:sz w:val="20"/>
                <w:szCs w:val="20"/>
              </w:rPr>
              <w:t>PENRM (Bindemittelanteil)</w:t>
            </w:r>
          </w:p>
        </w:tc>
        <w:tc>
          <w:tcPr>
            <w:tcW w:w="1134" w:type="dxa"/>
            <w:tcBorders>
              <w:top w:val="single" w:sz="4" w:space="0" w:color="auto"/>
              <w:left w:val="nil"/>
              <w:bottom w:val="single" w:sz="4" w:space="0" w:color="auto"/>
              <w:right w:val="single" w:sz="4" w:space="0" w:color="auto"/>
            </w:tcBorders>
            <w:vAlign w:val="bottom"/>
          </w:tcPr>
          <w:p w14:paraId="0288DBB0" w14:textId="77777777" w:rsidR="00B81D02" w:rsidRPr="003415EB" w:rsidRDefault="00B81D02" w:rsidP="00C21088">
            <w:pPr>
              <w:jc w:val="center"/>
              <w:rPr>
                <w:rFonts w:cs="Arial"/>
                <w:sz w:val="20"/>
                <w:szCs w:val="20"/>
              </w:rPr>
            </w:pPr>
            <w:r>
              <w:rPr>
                <w:rFonts w:cs="Arial"/>
                <w:sz w:val="20"/>
                <w:szCs w:val="20"/>
              </w:rPr>
              <w:t>MJ</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609F57" w14:textId="77777777" w:rsidR="00B81D02" w:rsidRPr="003415EB" w:rsidRDefault="00B81D02" w:rsidP="00C21088">
            <w:pPr>
              <w:jc w:val="center"/>
              <w:rPr>
                <w:rFonts w:cs="Arial"/>
                <w:sz w:val="20"/>
                <w:szCs w:val="20"/>
              </w:rPr>
            </w:pPr>
            <w:r w:rsidRPr="003415EB">
              <w:rPr>
                <w:rFonts w:cs="Arial"/>
                <w:sz w:val="20"/>
                <w:szCs w:val="20"/>
              </w:rPr>
              <w:t>645</w:t>
            </w:r>
          </w:p>
        </w:tc>
      </w:tr>
      <w:tr w:rsidR="00B81D02" w:rsidRPr="003415EB" w14:paraId="6347A039"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6B7596" w14:textId="251DD660" w:rsidR="00B81D02" w:rsidRPr="003415EB" w:rsidRDefault="00B81D02" w:rsidP="00C21088">
            <w:pPr>
              <w:rPr>
                <w:rFonts w:cs="Arial"/>
                <w:sz w:val="20"/>
                <w:szCs w:val="20"/>
              </w:rPr>
            </w:pPr>
            <w:r w:rsidRPr="003415EB">
              <w:rPr>
                <w:rFonts w:cs="Arial"/>
                <w:sz w:val="20"/>
                <w:szCs w:val="20"/>
              </w:rPr>
              <w:t>Biogener Kohlenstoffgehalt</w:t>
            </w:r>
          </w:p>
        </w:tc>
        <w:tc>
          <w:tcPr>
            <w:tcW w:w="1134" w:type="dxa"/>
            <w:tcBorders>
              <w:top w:val="single" w:sz="4" w:space="0" w:color="auto"/>
              <w:left w:val="nil"/>
              <w:bottom w:val="single" w:sz="4" w:space="0" w:color="auto"/>
              <w:right w:val="single" w:sz="4" w:space="0" w:color="auto"/>
            </w:tcBorders>
            <w:vAlign w:val="bottom"/>
          </w:tcPr>
          <w:p w14:paraId="5B8AD7A7" w14:textId="77777777" w:rsidR="00B81D02" w:rsidRPr="003415EB" w:rsidRDefault="00B81D02" w:rsidP="00C21088">
            <w:pPr>
              <w:jc w:val="center"/>
              <w:rPr>
                <w:rFonts w:cs="Arial"/>
                <w:sz w:val="20"/>
                <w:szCs w:val="20"/>
              </w:rPr>
            </w:pPr>
            <w:r w:rsidRPr="003415EB">
              <w:rPr>
                <w:rFonts w:cs="Arial"/>
                <w:sz w:val="20"/>
                <w:szCs w:val="20"/>
              </w:rPr>
              <w:t>in CO</w:t>
            </w:r>
            <w:r w:rsidRPr="00C21088">
              <w:rPr>
                <w:rFonts w:cs="Arial"/>
                <w:sz w:val="20"/>
                <w:szCs w:val="20"/>
                <w:vertAlign w:val="subscript"/>
              </w:rPr>
              <w:t>2</w:t>
            </w:r>
            <w:r w:rsidRPr="003415EB">
              <w:rPr>
                <w:rFonts w:cs="Arial"/>
                <w:sz w:val="20"/>
                <w:szCs w:val="20"/>
              </w:rPr>
              <w:t>-eq</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00B8A" w14:textId="77777777" w:rsidR="00B81D02" w:rsidRPr="003415EB" w:rsidRDefault="00B81D02" w:rsidP="00C21088">
            <w:pPr>
              <w:jc w:val="center"/>
              <w:rPr>
                <w:rFonts w:cs="Arial"/>
                <w:sz w:val="20"/>
                <w:szCs w:val="20"/>
              </w:rPr>
            </w:pPr>
            <w:r>
              <w:rPr>
                <w:rFonts w:cs="Arial"/>
                <w:sz w:val="20"/>
                <w:szCs w:val="20"/>
              </w:rPr>
              <w:t>-</w:t>
            </w:r>
            <w:r w:rsidRPr="003415EB">
              <w:rPr>
                <w:rFonts w:cs="Arial"/>
                <w:sz w:val="20"/>
                <w:szCs w:val="20"/>
              </w:rPr>
              <w:t>1063</w:t>
            </w:r>
          </w:p>
        </w:tc>
      </w:tr>
      <w:tr w:rsidR="00B81D02" w:rsidRPr="003415EB" w14:paraId="62633255"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DA848C" w14:textId="77777777" w:rsidR="00B81D02" w:rsidRPr="003415EB" w:rsidRDefault="00B81D02" w:rsidP="00C21088">
            <w:pPr>
              <w:rPr>
                <w:rFonts w:cs="Arial"/>
                <w:sz w:val="20"/>
                <w:szCs w:val="20"/>
                <w:lang w:val="en-US"/>
              </w:rPr>
            </w:pPr>
            <w:r w:rsidRPr="003415EB">
              <w:rPr>
                <w:rFonts w:cs="Arial"/>
                <w:sz w:val="20"/>
                <w:szCs w:val="20"/>
                <w:lang w:val="en-US"/>
              </w:rPr>
              <w:t>GWP-fossil (A1-A3)</w:t>
            </w:r>
          </w:p>
        </w:tc>
        <w:tc>
          <w:tcPr>
            <w:tcW w:w="1134" w:type="dxa"/>
            <w:tcBorders>
              <w:top w:val="single" w:sz="4" w:space="0" w:color="auto"/>
              <w:left w:val="nil"/>
              <w:bottom w:val="single" w:sz="4" w:space="0" w:color="auto"/>
              <w:right w:val="single" w:sz="4" w:space="0" w:color="auto"/>
            </w:tcBorders>
            <w:vAlign w:val="bottom"/>
          </w:tcPr>
          <w:p w14:paraId="531BC088" w14:textId="77777777" w:rsidR="00B81D02" w:rsidRPr="003415EB" w:rsidRDefault="00B81D02" w:rsidP="00C21088">
            <w:pPr>
              <w:jc w:val="center"/>
              <w:rPr>
                <w:rFonts w:cs="Arial"/>
                <w:sz w:val="20"/>
                <w:szCs w:val="20"/>
              </w:rPr>
            </w:pPr>
            <w:r w:rsidRPr="003415EB">
              <w:rPr>
                <w:rFonts w:cs="Arial"/>
                <w:sz w:val="20"/>
                <w:szCs w:val="20"/>
              </w:rPr>
              <w:t>in CO</w:t>
            </w:r>
            <w:r w:rsidRPr="00C21088">
              <w:rPr>
                <w:rFonts w:cs="Arial"/>
                <w:sz w:val="20"/>
                <w:szCs w:val="20"/>
                <w:vertAlign w:val="subscript"/>
              </w:rPr>
              <w:t>2</w:t>
            </w:r>
            <w:r w:rsidRPr="003415EB">
              <w:rPr>
                <w:rFonts w:cs="Arial"/>
                <w:sz w:val="20"/>
                <w:szCs w:val="20"/>
              </w:rPr>
              <w:t>-eq</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5FACB" w14:textId="77777777" w:rsidR="00B81D02" w:rsidRPr="003415EB" w:rsidRDefault="00B81D02" w:rsidP="00C21088">
            <w:pPr>
              <w:jc w:val="center"/>
              <w:rPr>
                <w:rFonts w:cs="Arial"/>
                <w:sz w:val="20"/>
                <w:szCs w:val="20"/>
              </w:rPr>
            </w:pPr>
            <w:r w:rsidRPr="003415EB">
              <w:rPr>
                <w:rFonts w:cs="Arial"/>
                <w:sz w:val="20"/>
                <w:szCs w:val="20"/>
              </w:rPr>
              <w:t>251</w:t>
            </w:r>
          </w:p>
        </w:tc>
      </w:tr>
      <w:tr w:rsidR="00B81D02" w:rsidRPr="003415EB" w14:paraId="5DC440E4"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ED8FF" w14:textId="68672D7D" w:rsidR="00B81D02" w:rsidRPr="003415EB" w:rsidRDefault="00B81D02" w:rsidP="00C21088">
            <w:pPr>
              <w:rPr>
                <w:rFonts w:cs="Arial"/>
                <w:sz w:val="20"/>
                <w:szCs w:val="20"/>
              </w:rPr>
            </w:pPr>
            <w:r w:rsidRPr="003415EB">
              <w:rPr>
                <w:rFonts w:cs="Arial"/>
                <w:sz w:val="20"/>
                <w:szCs w:val="20"/>
              </w:rPr>
              <w:t>GWP</w:t>
            </w:r>
            <w:r w:rsidRPr="003415EB">
              <w:rPr>
                <w:rFonts w:cs="Arial"/>
                <w:sz w:val="20"/>
                <w:szCs w:val="20"/>
                <w:lang w:val="de-AT"/>
              </w:rPr>
              <w:t>-fossil</w:t>
            </w:r>
            <w:r w:rsidRPr="003415EB">
              <w:rPr>
                <w:rFonts w:cs="Arial"/>
                <w:sz w:val="20"/>
                <w:szCs w:val="20"/>
              </w:rPr>
              <w:t xml:space="preserve"> (C Aufwand für </w:t>
            </w:r>
            <w:r w:rsidR="00501F64">
              <w:rPr>
                <w:rFonts w:cs="Arial"/>
                <w:sz w:val="20"/>
                <w:szCs w:val="20"/>
              </w:rPr>
              <w:t xml:space="preserve">Sortierung und </w:t>
            </w:r>
            <w:r w:rsidR="00FE0585">
              <w:rPr>
                <w:rFonts w:cs="Arial"/>
                <w:sz w:val="20"/>
                <w:szCs w:val="20"/>
              </w:rPr>
              <w:t>Aufbereitung</w:t>
            </w:r>
            <w:r w:rsidR="00E4441B">
              <w:rPr>
                <w:rFonts w:cs="Arial"/>
                <w:sz w:val="20"/>
                <w:szCs w:val="20"/>
              </w:rPr>
              <w:t xml:space="preserve"> bis Ende der Abfalleigenschaften</w:t>
            </w:r>
            <w:r w:rsidRPr="003415EB">
              <w:rPr>
                <w:rFonts w:cs="Arial"/>
                <w:sz w:val="20"/>
                <w:szCs w:val="20"/>
              </w:rPr>
              <w:t>)</w:t>
            </w:r>
          </w:p>
        </w:tc>
        <w:tc>
          <w:tcPr>
            <w:tcW w:w="1134" w:type="dxa"/>
            <w:tcBorders>
              <w:top w:val="single" w:sz="4" w:space="0" w:color="auto"/>
              <w:left w:val="nil"/>
              <w:bottom w:val="single" w:sz="4" w:space="0" w:color="auto"/>
              <w:right w:val="single" w:sz="4" w:space="0" w:color="auto"/>
            </w:tcBorders>
            <w:vAlign w:val="bottom"/>
          </w:tcPr>
          <w:p w14:paraId="0D277A9E" w14:textId="77777777" w:rsidR="00B81D02" w:rsidRPr="003415EB" w:rsidRDefault="00B81D02" w:rsidP="00C21088">
            <w:pPr>
              <w:jc w:val="center"/>
              <w:rPr>
                <w:rFonts w:cs="Arial"/>
                <w:sz w:val="20"/>
                <w:szCs w:val="20"/>
              </w:rPr>
            </w:pPr>
            <w:r w:rsidRPr="003415EB">
              <w:rPr>
                <w:rFonts w:cs="Arial"/>
                <w:sz w:val="20"/>
                <w:szCs w:val="20"/>
              </w:rPr>
              <w:t>in CO</w:t>
            </w:r>
            <w:r w:rsidRPr="00C21088">
              <w:rPr>
                <w:rFonts w:cs="Arial"/>
                <w:sz w:val="20"/>
                <w:szCs w:val="20"/>
                <w:vertAlign w:val="subscript"/>
              </w:rPr>
              <w:t>2</w:t>
            </w:r>
            <w:r w:rsidRPr="003415EB">
              <w:rPr>
                <w:rFonts w:cs="Arial"/>
                <w:sz w:val="20"/>
                <w:szCs w:val="20"/>
              </w:rPr>
              <w:t>-eq</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97B9EB" w14:textId="77777777" w:rsidR="00B81D02" w:rsidRPr="003415EB" w:rsidRDefault="00B81D02" w:rsidP="00C21088">
            <w:pPr>
              <w:jc w:val="center"/>
              <w:rPr>
                <w:rFonts w:cs="Arial"/>
                <w:sz w:val="20"/>
                <w:szCs w:val="20"/>
              </w:rPr>
            </w:pPr>
            <w:r w:rsidRPr="003415EB">
              <w:rPr>
                <w:rFonts w:cs="Arial"/>
                <w:sz w:val="20"/>
                <w:szCs w:val="20"/>
              </w:rPr>
              <w:t>1,5</w:t>
            </w:r>
          </w:p>
        </w:tc>
      </w:tr>
      <w:tr w:rsidR="00B81D02" w:rsidRPr="003415EB" w14:paraId="40F59F96"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A4078" w14:textId="726D4D58" w:rsidR="00B81D02" w:rsidRPr="003415EB" w:rsidRDefault="00B81D02" w:rsidP="00C21088">
            <w:pPr>
              <w:rPr>
                <w:rFonts w:cs="Arial"/>
                <w:sz w:val="20"/>
                <w:szCs w:val="20"/>
              </w:rPr>
            </w:pPr>
            <w:r w:rsidRPr="003415EB">
              <w:rPr>
                <w:rFonts w:cs="Arial"/>
                <w:sz w:val="20"/>
                <w:szCs w:val="20"/>
              </w:rPr>
              <w:lastRenderedPageBreak/>
              <w:t>GWP</w:t>
            </w:r>
            <w:r w:rsidRPr="003415EB">
              <w:rPr>
                <w:rFonts w:cs="Arial"/>
                <w:sz w:val="20"/>
                <w:szCs w:val="20"/>
                <w:lang w:val="de-AT"/>
              </w:rPr>
              <w:t>-fossil</w:t>
            </w:r>
            <w:r w:rsidRPr="003415EB">
              <w:rPr>
                <w:rFonts w:cs="Arial"/>
                <w:sz w:val="20"/>
                <w:szCs w:val="20"/>
              </w:rPr>
              <w:t xml:space="preserve"> (Emissionen aus Verbrennungsprozess)</w:t>
            </w:r>
          </w:p>
        </w:tc>
        <w:tc>
          <w:tcPr>
            <w:tcW w:w="1134" w:type="dxa"/>
            <w:tcBorders>
              <w:top w:val="single" w:sz="4" w:space="0" w:color="auto"/>
              <w:left w:val="nil"/>
              <w:bottom w:val="single" w:sz="4" w:space="0" w:color="auto"/>
              <w:right w:val="single" w:sz="4" w:space="0" w:color="auto"/>
            </w:tcBorders>
            <w:vAlign w:val="bottom"/>
          </w:tcPr>
          <w:p w14:paraId="37882D09" w14:textId="77777777" w:rsidR="00B81D02" w:rsidRPr="003415EB" w:rsidRDefault="00B81D02" w:rsidP="00C21088">
            <w:pPr>
              <w:jc w:val="center"/>
              <w:rPr>
                <w:rFonts w:cs="Arial"/>
                <w:sz w:val="20"/>
                <w:szCs w:val="20"/>
              </w:rPr>
            </w:pPr>
            <w:r w:rsidRPr="003415EB">
              <w:rPr>
                <w:rFonts w:cs="Arial"/>
                <w:sz w:val="20"/>
                <w:szCs w:val="20"/>
              </w:rPr>
              <w:t>in CO</w:t>
            </w:r>
            <w:r w:rsidRPr="00C21088">
              <w:rPr>
                <w:rFonts w:cs="Arial"/>
                <w:sz w:val="20"/>
                <w:szCs w:val="20"/>
                <w:vertAlign w:val="subscript"/>
              </w:rPr>
              <w:t>2</w:t>
            </w:r>
            <w:r w:rsidRPr="003415EB">
              <w:rPr>
                <w:rFonts w:cs="Arial"/>
                <w:sz w:val="20"/>
                <w:szCs w:val="20"/>
              </w:rPr>
              <w:t>-eq</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48C41" w14:textId="77777777" w:rsidR="00B81D02" w:rsidRPr="003415EB" w:rsidRDefault="00B81D02" w:rsidP="00C21088">
            <w:pPr>
              <w:jc w:val="center"/>
              <w:rPr>
                <w:rFonts w:cs="Arial"/>
                <w:sz w:val="20"/>
                <w:szCs w:val="20"/>
              </w:rPr>
            </w:pPr>
            <w:r w:rsidRPr="003415EB">
              <w:rPr>
                <w:rFonts w:cs="Arial"/>
                <w:sz w:val="20"/>
                <w:szCs w:val="20"/>
              </w:rPr>
              <w:t>90</w:t>
            </w:r>
          </w:p>
        </w:tc>
      </w:tr>
      <w:tr w:rsidR="00B81D02" w:rsidRPr="003415EB" w14:paraId="32BAC0BE" w14:textId="77777777" w:rsidTr="00C21088">
        <w:trPr>
          <w:trHeight w:val="280"/>
        </w:trPr>
        <w:tc>
          <w:tcPr>
            <w:tcW w:w="679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80EA4" w14:textId="77777777" w:rsidR="00B81D02" w:rsidRPr="003415EB" w:rsidRDefault="00B81D02" w:rsidP="00C21088">
            <w:pPr>
              <w:rPr>
                <w:rFonts w:cs="Arial"/>
                <w:sz w:val="20"/>
                <w:szCs w:val="20"/>
              </w:rPr>
            </w:pPr>
            <w:r w:rsidRPr="003415EB">
              <w:rPr>
                <w:rFonts w:cs="Arial"/>
                <w:sz w:val="20"/>
                <w:szCs w:val="20"/>
              </w:rPr>
              <w:t>GWP</w:t>
            </w:r>
            <w:r w:rsidRPr="003415EB">
              <w:rPr>
                <w:rFonts w:cs="Arial"/>
                <w:sz w:val="20"/>
                <w:szCs w:val="20"/>
                <w:lang w:val="de-AT"/>
              </w:rPr>
              <w:t>-fossil</w:t>
            </w:r>
            <w:r w:rsidRPr="003415EB">
              <w:rPr>
                <w:rFonts w:cs="Arial"/>
                <w:sz w:val="20"/>
                <w:szCs w:val="20"/>
              </w:rPr>
              <w:t xml:space="preserve"> (D Vermiedene Auswirkungen)</w:t>
            </w:r>
          </w:p>
        </w:tc>
        <w:tc>
          <w:tcPr>
            <w:tcW w:w="1134" w:type="dxa"/>
            <w:tcBorders>
              <w:top w:val="single" w:sz="4" w:space="0" w:color="auto"/>
              <w:left w:val="nil"/>
              <w:bottom w:val="single" w:sz="4" w:space="0" w:color="auto"/>
              <w:right w:val="single" w:sz="4" w:space="0" w:color="auto"/>
            </w:tcBorders>
            <w:vAlign w:val="bottom"/>
          </w:tcPr>
          <w:p w14:paraId="2C56788E" w14:textId="77777777" w:rsidR="00B81D02" w:rsidRPr="003415EB" w:rsidRDefault="00B81D02" w:rsidP="00C21088">
            <w:pPr>
              <w:jc w:val="center"/>
              <w:rPr>
                <w:rFonts w:cs="Arial"/>
                <w:sz w:val="20"/>
                <w:szCs w:val="20"/>
              </w:rPr>
            </w:pPr>
            <w:r w:rsidRPr="003415EB">
              <w:rPr>
                <w:rFonts w:cs="Arial"/>
                <w:sz w:val="20"/>
                <w:szCs w:val="20"/>
              </w:rPr>
              <w:t>in CO</w:t>
            </w:r>
            <w:r w:rsidRPr="00C21088">
              <w:rPr>
                <w:rFonts w:cs="Arial"/>
                <w:sz w:val="20"/>
                <w:szCs w:val="20"/>
                <w:vertAlign w:val="subscript"/>
              </w:rPr>
              <w:t>2</w:t>
            </w:r>
            <w:r w:rsidRPr="003415EB">
              <w:rPr>
                <w:rFonts w:cs="Arial"/>
                <w:sz w:val="20"/>
                <w:szCs w:val="20"/>
              </w:rPr>
              <w:t>-eq</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BA44C" w14:textId="77777777" w:rsidR="00B81D02" w:rsidRPr="003415EB" w:rsidRDefault="00B81D02" w:rsidP="00C21088">
            <w:pPr>
              <w:jc w:val="center"/>
              <w:rPr>
                <w:rFonts w:cs="Arial"/>
                <w:sz w:val="20"/>
                <w:szCs w:val="20"/>
              </w:rPr>
            </w:pPr>
            <w:r w:rsidRPr="003415EB">
              <w:rPr>
                <w:rFonts w:cs="Arial"/>
                <w:sz w:val="20"/>
                <w:szCs w:val="20"/>
              </w:rPr>
              <w:t>-650</w:t>
            </w:r>
          </w:p>
        </w:tc>
      </w:tr>
    </w:tbl>
    <w:p w14:paraId="2DFF0023" w14:textId="77777777" w:rsidR="009566A7" w:rsidRDefault="009566A7" w:rsidP="009566A7">
      <w:pPr>
        <w:pStyle w:val="berschrift2"/>
        <w:rPr>
          <w:w w:val="103"/>
        </w:rPr>
      </w:pPr>
      <w:bookmarkStart w:id="13" w:name="_Hlk82163667"/>
      <w:r>
        <w:rPr>
          <w:w w:val="103"/>
        </w:rPr>
        <w:t>B3 Recycling</w:t>
      </w:r>
    </w:p>
    <w:p w14:paraId="2AB50C1E" w14:textId="77777777" w:rsidR="009566A7" w:rsidRPr="00BC4A18" w:rsidRDefault="009566A7" w:rsidP="009566A7">
      <w:pPr>
        <w:pStyle w:val="berschrift3"/>
        <w:rPr>
          <w:rFonts w:eastAsiaTheme="majorEastAsia"/>
          <w:w w:val="103"/>
        </w:rPr>
      </w:pPr>
      <w:r>
        <w:rPr>
          <w:rFonts w:eastAsiaTheme="majorEastAsia"/>
          <w:w w:val="103"/>
        </w:rPr>
        <w:t xml:space="preserve">B3.1 </w:t>
      </w:r>
      <w:r w:rsidRPr="00BC4A18">
        <w:rPr>
          <w:rFonts w:eastAsiaTheme="majorEastAsia"/>
          <w:w w:val="103"/>
        </w:rPr>
        <w:t>Modellierung de</w:t>
      </w:r>
      <w:r>
        <w:rPr>
          <w:rFonts w:eastAsiaTheme="majorEastAsia"/>
          <w:w w:val="103"/>
        </w:rPr>
        <w:t>s Recyclingprozesses</w:t>
      </w:r>
    </w:p>
    <w:p w14:paraId="7E9EA6B9" w14:textId="77777777" w:rsidR="009566A7" w:rsidRDefault="009566A7" w:rsidP="009566A7">
      <w:pPr>
        <w:pStyle w:val="Regeln"/>
        <w:ind w:left="851" w:hanging="284"/>
      </w:pPr>
      <w:r>
        <w:t>Die Modellierung der Recyclingprozesse erfolgt</w:t>
      </w:r>
      <w:r w:rsidRPr="00422ECC">
        <w:t xml:space="preserve"> gemäß </w:t>
      </w:r>
      <w:r>
        <w:t xml:space="preserve">EN </w:t>
      </w:r>
      <w:r w:rsidRPr="00422ECC">
        <w:t xml:space="preserve">15804 </w:t>
      </w:r>
      <w:r>
        <w:t>in der Regel folgendermaßen</w:t>
      </w:r>
      <w:r w:rsidRPr="00422ECC">
        <w:t>:</w:t>
      </w:r>
    </w:p>
    <w:p w14:paraId="276F0085" w14:textId="77777777" w:rsidR="009566A7" w:rsidRDefault="009566A7" w:rsidP="009566A7">
      <w:pPr>
        <w:ind w:left="851"/>
      </w:pPr>
      <w:r>
        <w:t>C1 Demontage / Abbruch</w:t>
      </w:r>
    </w:p>
    <w:p w14:paraId="6873A4CA" w14:textId="77777777" w:rsidR="009566A7" w:rsidRDefault="009566A7" w:rsidP="009566A7">
      <w:pPr>
        <w:ind w:left="851"/>
      </w:pPr>
      <w:r>
        <w:t>C2 Transport zur Aufbereitungsanlage</w:t>
      </w:r>
    </w:p>
    <w:p w14:paraId="3785B53F" w14:textId="77777777" w:rsidR="009566A7" w:rsidRDefault="009566A7" w:rsidP="009566A7">
      <w:pPr>
        <w:ind w:left="851"/>
      </w:pPr>
      <w:r w:rsidRPr="00BE42B4">
        <w:t>C3 Abfallbehandlung</w:t>
      </w:r>
    </w:p>
    <w:p w14:paraId="1F86FFE4" w14:textId="77777777" w:rsidR="009566A7" w:rsidRPr="00BE42B4" w:rsidRDefault="009566A7" w:rsidP="009566A7">
      <w:pPr>
        <w:ind w:left="851"/>
      </w:pPr>
      <w:r>
        <w:t>C4 entfällt</w:t>
      </w:r>
    </w:p>
    <w:p w14:paraId="191384AE" w14:textId="77777777" w:rsidR="009566A7" w:rsidRPr="00BE42B4" w:rsidRDefault="009566A7" w:rsidP="009566A7">
      <w:pPr>
        <w:ind w:left="851"/>
      </w:pPr>
      <w:r w:rsidRPr="00BE42B4">
        <w:t>D Vermiedene Auswirkungen durch Recycling</w:t>
      </w:r>
    </w:p>
    <w:p w14:paraId="1CD5B931" w14:textId="76AEC924" w:rsidR="009566A7" w:rsidRDefault="009566A7" w:rsidP="009566A7">
      <w:pPr>
        <w:spacing w:before="120" w:after="120"/>
        <w:ind w:left="851"/>
      </w:pPr>
      <w:r w:rsidRPr="00BE42B4">
        <w:t>Welche Recyclingprozesse noch Teil des Produktsystems sind und welche zum nächsten Produktsystem gezählt werden, entscheidet gemäß EN 15804 der Zeitpunkt des „Endes der Abfalleigenschaft“.</w:t>
      </w:r>
      <w:r>
        <w:t xml:space="preserve"> Ein Beispiel für ein Bauprodukt mit Abfallende nach der Aufbereitung zum Sekundärrohstoff wird </w:t>
      </w:r>
      <w:r w:rsidRPr="00933B79">
        <w:t xml:space="preserve">in </w:t>
      </w:r>
      <w:r w:rsidRPr="00933B79">
        <w:fldChar w:fldCharType="begin"/>
      </w:r>
      <w:r w:rsidRPr="00933B79">
        <w:instrText xml:space="preserve"> REF _Ref78469510 \h  \* MERGEFORMAT </w:instrText>
      </w:r>
      <w:r w:rsidRPr="00933B79">
        <w:fldChar w:fldCharType="separate"/>
      </w:r>
      <w:r w:rsidR="00223538" w:rsidRPr="00223538">
        <w:t xml:space="preserve">Tabelle </w:t>
      </w:r>
      <w:r w:rsidR="00223538" w:rsidRPr="00223538">
        <w:rPr>
          <w:noProof/>
        </w:rPr>
        <w:t>4</w:t>
      </w:r>
      <w:r w:rsidRPr="00933B79">
        <w:fldChar w:fldCharType="end"/>
      </w:r>
      <w:r w:rsidRPr="00933B79">
        <w:t xml:space="preserve"> gezeigt.</w:t>
      </w:r>
    </w:p>
    <w:p w14:paraId="4E2E4632" w14:textId="52E0CE25" w:rsidR="009566A7" w:rsidRPr="004A36FA" w:rsidRDefault="009566A7" w:rsidP="009566A7">
      <w:pPr>
        <w:pStyle w:val="Regeln"/>
        <w:keepNext/>
        <w:numPr>
          <w:ilvl w:val="0"/>
          <w:numId w:val="0"/>
        </w:numPr>
        <w:spacing w:after="80"/>
        <w:ind w:left="851"/>
        <w:rPr>
          <w:i/>
        </w:rPr>
      </w:pPr>
      <w:bookmarkStart w:id="14" w:name="_Ref78469510"/>
      <w:r w:rsidRPr="004A36FA">
        <w:rPr>
          <w:b/>
        </w:rPr>
        <w:t xml:space="preserve">Tabelle </w:t>
      </w:r>
      <w:r w:rsidRPr="004A36FA">
        <w:rPr>
          <w:b/>
        </w:rPr>
        <w:fldChar w:fldCharType="begin"/>
      </w:r>
      <w:r w:rsidRPr="004A36FA">
        <w:rPr>
          <w:b/>
        </w:rPr>
        <w:instrText xml:space="preserve"> SEQ Tabelle \* ARABIC </w:instrText>
      </w:r>
      <w:r w:rsidRPr="004A36FA">
        <w:rPr>
          <w:b/>
        </w:rPr>
        <w:fldChar w:fldCharType="separate"/>
      </w:r>
      <w:r w:rsidR="00223538">
        <w:rPr>
          <w:b/>
          <w:noProof/>
        </w:rPr>
        <w:t>4</w:t>
      </w:r>
      <w:r w:rsidRPr="004A36FA">
        <w:rPr>
          <w:b/>
        </w:rPr>
        <w:fldChar w:fldCharType="end"/>
      </w:r>
      <w:bookmarkEnd w:id="14"/>
      <w:r w:rsidRPr="004A36FA">
        <w:rPr>
          <w:b/>
        </w:rPr>
        <w:t>:</w:t>
      </w:r>
      <w:r>
        <w:rPr>
          <w:i/>
        </w:rPr>
        <w:t xml:space="preserve"> </w:t>
      </w:r>
      <w:r w:rsidRPr="004A36FA">
        <w:t>Verrechnung von</w:t>
      </w:r>
      <w:r>
        <w:t xml:space="preserve"> Recyclingverfahren </w:t>
      </w:r>
      <w:r w:rsidRPr="004A36FA">
        <w:t>nach den Modulen C1 – C4 und D</w:t>
      </w:r>
      <w:r w:rsidRPr="00330437">
        <w:t xml:space="preserve"> </w:t>
      </w:r>
      <w:r>
        <w:t>am Beispiel eines Bauprodukts mit Abfallende nach der Aufbereitung zum Sekundärrohstoff.</w:t>
      </w:r>
    </w:p>
    <w:tbl>
      <w:tblPr>
        <w:tblStyle w:val="Tabellenraster"/>
        <w:tblW w:w="6520" w:type="dxa"/>
        <w:tblInd w:w="846" w:type="dxa"/>
        <w:tblLayout w:type="fixed"/>
        <w:tblLook w:val="04A0" w:firstRow="1" w:lastRow="0" w:firstColumn="1" w:lastColumn="0" w:noHBand="0" w:noVBand="1"/>
      </w:tblPr>
      <w:tblGrid>
        <w:gridCol w:w="1134"/>
        <w:gridCol w:w="5386"/>
      </w:tblGrid>
      <w:tr w:rsidR="009566A7" w:rsidRPr="004A36FA" w14:paraId="525DB501" w14:textId="77777777" w:rsidTr="00AE20FC">
        <w:tc>
          <w:tcPr>
            <w:tcW w:w="1134" w:type="dxa"/>
            <w:vAlign w:val="center"/>
          </w:tcPr>
          <w:p w14:paraId="6047CB3F" w14:textId="77777777" w:rsidR="009566A7" w:rsidRPr="00402BA5" w:rsidRDefault="009566A7" w:rsidP="00AE20FC">
            <w:pPr>
              <w:keepNext/>
              <w:spacing w:before="20" w:after="20"/>
              <w:jc w:val="center"/>
              <w:rPr>
                <w:b/>
                <w:sz w:val="20"/>
                <w:szCs w:val="20"/>
              </w:rPr>
            </w:pPr>
            <w:r w:rsidRPr="00402BA5">
              <w:rPr>
                <w:b/>
                <w:sz w:val="20"/>
                <w:szCs w:val="20"/>
              </w:rPr>
              <w:t>Kriterium</w:t>
            </w:r>
          </w:p>
        </w:tc>
        <w:tc>
          <w:tcPr>
            <w:tcW w:w="5386" w:type="dxa"/>
            <w:vAlign w:val="center"/>
          </w:tcPr>
          <w:p w14:paraId="3D4D1CFC" w14:textId="77777777" w:rsidR="009566A7" w:rsidRPr="004A36FA" w:rsidRDefault="009566A7" w:rsidP="00AE20FC">
            <w:pPr>
              <w:keepNext/>
              <w:spacing w:before="20" w:after="20"/>
              <w:jc w:val="center"/>
              <w:rPr>
                <w:b/>
                <w:sz w:val="20"/>
                <w:szCs w:val="20"/>
              </w:rPr>
            </w:pPr>
            <w:r>
              <w:rPr>
                <w:b/>
                <w:sz w:val="20"/>
                <w:szCs w:val="20"/>
              </w:rPr>
              <w:t>Recycling</w:t>
            </w:r>
          </w:p>
        </w:tc>
      </w:tr>
      <w:tr w:rsidR="009566A7" w:rsidRPr="004A36FA" w14:paraId="56DB4B75" w14:textId="77777777" w:rsidTr="00AE20FC">
        <w:tc>
          <w:tcPr>
            <w:tcW w:w="1134" w:type="dxa"/>
            <w:vAlign w:val="center"/>
          </w:tcPr>
          <w:p w14:paraId="6FF5CFD0" w14:textId="77777777" w:rsidR="009566A7" w:rsidRPr="004A36FA" w:rsidRDefault="009566A7" w:rsidP="00AE20FC">
            <w:pPr>
              <w:keepNext/>
              <w:spacing w:before="20" w:after="20"/>
              <w:jc w:val="center"/>
              <w:rPr>
                <w:sz w:val="20"/>
                <w:szCs w:val="20"/>
              </w:rPr>
            </w:pPr>
            <w:r w:rsidRPr="004A36FA">
              <w:rPr>
                <w:sz w:val="20"/>
                <w:szCs w:val="20"/>
              </w:rPr>
              <w:t>Kriterium 1</w:t>
            </w:r>
          </w:p>
        </w:tc>
        <w:tc>
          <w:tcPr>
            <w:tcW w:w="5386" w:type="dxa"/>
            <w:vAlign w:val="center"/>
          </w:tcPr>
          <w:p w14:paraId="44324058" w14:textId="77777777" w:rsidR="009566A7" w:rsidRPr="004A36FA" w:rsidRDefault="009566A7" w:rsidP="00AE20FC">
            <w:pPr>
              <w:keepNext/>
              <w:spacing w:before="20" w:after="20"/>
              <w:rPr>
                <w:sz w:val="20"/>
                <w:szCs w:val="20"/>
              </w:rPr>
            </w:pPr>
            <w:r w:rsidRPr="004A36FA">
              <w:rPr>
                <w:sz w:val="20"/>
                <w:szCs w:val="20"/>
              </w:rPr>
              <w:t>Fluss wird nicht als Abfall betrachtet</w:t>
            </w:r>
            <w:r>
              <w:rPr>
                <w:sz w:val="20"/>
                <w:szCs w:val="20"/>
              </w:rPr>
              <w:br/>
              <w:t>(Fluss erreicht den Abfallende-Status).</w:t>
            </w:r>
          </w:p>
        </w:tc>
      </w:tr>
      <w:tr w:rsidR="009566A7" w:rsidRPr="004A36FA" w14:paraId="2C4B491B" w14:textId="77777777" w:rsidTr="00AE20FC">
        <w:tc>
          <w:tcPr>
            <w:tcW w:w="1134" w:type="dxa"/>
            <w:vAlign w:val="center"/>
          </w:tcPr>
          <w:p w14:paraId="35EA9907" w14:textId="77777777" w:rsidR="009566A7" w:rsidRPr="004A36FA" w:rsidRDefault="009566A7" w:rsidP="00AE20FC">
            <w:pPr>
              <w:keepNext/>
              <w:spacing w:before="20" w:after="20"/>
              <w:jc w:val="center"/>
              <w:rPr>
                <w:sz w:val="20"/>
                <w:szCs w:val="20"/>
              </w:rPr>
            </w:pPr>
            <w:r w:rsidRPr="004A36FA">
              <w:rPr>
                <w:sz w:val="20"/>
                <w:szCs w:val="20"/>
              </w:rPr>
              <w:t>Kriterium 2</w:t>
            </w:r>
          </w:p>
        </w:tc>
        <w:tc>
          <w:tcPr>
            <w:tcW w:w="5386" w:type="dxa"/>
            <w:vAlign w:val="center"/>
          </w:tcPr>
          <w:p w14:paraId="03FD6D00" w14:textId="77777777" w:rsidR="009566A7" w:rsidRPr="004A36FA" w:rsidRDefault="009566A7" w:rsidP="00AE20FC">
            <w:pPr>
              <w:keepNext/>
              <w:spacing w:before="20" w:after="20"/>
              <w:rPr>
                <w:sz w:val="20"/>
                <w:szCs w:val="20"/>
              </w:rPr>
            </w:pPr>
            <w:r>
              <w:rPr>
                <w:sz w:val="20"/>
                <w:szCs w:val="20"/>
              </w:rPr>
              <w:t>Ni</w:t>
            </w:r>
            <w:r w:rsidRPr="004A36FA">
              <w:rPr>
                <w:sz w:val="20"/>
                <w:szCs w:val="20"/>
              </w:rPr>
              <w:t>cht</w:t>
            </w:r>
            <w:r>
              <w:rPr>
                <w:sz w:val="20"/>
                <w:szCs w:val="20"/>
              </w:rPr>
              <w:t xml:space="preserve"> </w:t>
            </w:r>
            <w:r w:rsidRPr="004A36FA">
              <w:rPr>
                <w:sz w:val="20"/>
                <w:szCs w:val="20"/>
              </w:rPr>
              <w:t>zutreffend</w:t>
            </w:r>
          </w:p>
        </w:tc>
      </w:tr>
      <w:tr w:rsidR="009566A7" w:rsidRPr="004A36FA" w14:paraId="3388F0DC" w14:textId="77777777" w:rsidTr="00AE20FC">
        <w:tc>
          <w:tcPr>
            <w:tcW w:w="1134" w:type="dxa"/>
            <w:vAlign w:val="center"/>
          </w:tcPr>
          <w:p w14:paraId="5F405BCF" w14:textId="77777777" w:rsidR="009566A7" w:rsidRPr="004A36FA" w:rsidRDefault="009566A7" w:rsidP="00AE20FC">
            <w:pPr>
              <w:keepNext/>
              <w:spacing w:before="20" w:after="20"/>
              <w:jc w:val="center"/>
              <w:rPr>
                <w:sz w:val="20"/>
                <w:szCs w:val="20"/>
              </w:rPr>
            </w:pPr>
            <w:r>
              <w:rPr>
                <w:sz w:val="20"/>
                <w:szCs w:val="20"/>
              </w:rPr>
              <w:t>Modul</w:t>
            </w:r>
          </w:p>
        </w:tc>
        <w:tc>
          <w:tcPr>
            <w:tcW w:w="5386" w:type="dxa"/>
            <w:vAlign w:val="center"/>
          </w:tcPr>
          <w:p w14:paraId="430F0D95" w14:textId="77777777" w:rsidR="009566A7" w:rsidRPr="004A36FA" w:rsidRDefault="009566A7" w:rsidP="00AE20FC">
            <w:pPr>
              <w:keepNext/>
              <w:spacing w:before="20" w:after="20"/>
              <w:jc w:val="center"/>
              <w:rPr>
                <w:sz w:val="20"/>
                <w:szCs w:val="20"/>
              </w:rPr>
            </w:pPr>
            <w:r w:rsidRPr="004A36FA">
              <w:rPr>
                <w:b/>
                <w:sz w:val="20"/>
                <w:szCs w:val="20"/>
              </w:rPr>
              <w:t>Die sich ergebende Verrechnung von Prozessen zu Informationsmodulen</w:t>
            </w:r>
          </w:p>
        </w:tc>
      </w:tr>
      <w:tr w:rsidR="009566A7" w:rsidRPr="004A36FA" w14:paraId="7E0CD935" w14:textId="77777777" w:rsidTr="00AE20FC">
        <w:tc>
          <w:tcPr>
            <w:tcW w:w="1134" w:type="dxa"/>
            <w:vAlign w:val="center"/>
          </w:tcPr>
          <w:p w14:paraId="278CF8B2" w14:textId="77777777" w:rsidR="009566A7" w:rsidRPr="004A36FA" w:rsidRDefault="009566A7" w:rsidP="00AE20FC">
            <w:pPr>
              <w:keepNext/>
              <w:spacing w:before="20" w:after="20"/>
              <w:jc w:val="center"/>
              <w:rPr>
                <w:sz w:val="20"/>
                <w:szCs w:val="20"/>
              </w:rPr>
            </w:pPr>
            <w:r w:rsidRPr="004A36FA">
              <w:rPr>
                <w:sz w:val="20"/>
                <w:szCs w:val="20"/>
              </w:rPr>
              <w:t>C1</w:t>
            </w:r>
          </w:p>
        </w:tc>
        <w:tc>
          <w:tcPr>
            <w:tcW w:w="5386" w:type="dxa"/>
            <w:vAlign w:val="center"/>
          </w:tcPr>
          <w:p w14:paraId="662D9728" w14:textId="77777777" w:rsidR="009566A7" w:rsidRPr="004A36FA" w:rsidRDefault="009566A7" w:rsidP="00AE20FC">
            <w:pPr>
              <w:keepNext/>
              <w:spacing w:before="20" w:after="20"/>
              <w:rPr>
                <w:sz w:val="20"/>
                <w:szCs w:val="20"/>
              </w:rPr>
            </w:pPr>
            <w:r w:rsidRPr="004A36FA">
              <w:rPr>
                <w:sz w:val="20"/>
                <w:szCs w:val="20"/>
              </w:rPr>
              <w:t>Demontage / Abbruch</w:t>
            </w:r>
          </w:p>
        </w:tc>
      </w:tr>
      <w:tr w:rsidR="009566A7" w:rsidRPr="004A36FA" w14:paraId="05690ABA" w14:textId="77777777" w:rsidTr="00AE20FC">
        <w:tc>
          <w:tcPr>
            <w:tcW w:w="1134" w:type="dxa"/>
            <w:vAlign w:val="center"/>
          </w:tcPr>
          <w:p w14:paraId="4DF5B3E0" w14:textId="77777777" w:rsidR="009566A7" w:rsidRPr="004A36FA" w:rsidRDefault="009566A7" w:rsidP="00AE20FC">
            <w:pPr>
              <w:keepNext/>
              <w:spacing w:before="20" w:after="20"/>
              <w:jc w:val="center"/>
              <w:rPr>
                <w:sz w:val="20"/>
                <w:szCs w:val="20"/>
              </w:rPr>
            </w:pPr>
            <w:r w:rsidRPr="004A36FA">
              <w:rPr>
                <w:sz w:val="20"/>
                <w:szCs w:val="20"/>
              </w:rPr>
              <w:t>C2</w:t>
            </w:r>
          </w:p>
        </w:tc>
        <w:tc>
          <w:tcPr>
            <w:tcW w:w="5386" w:type="dxa"/>
            <w:vAlign w:val="center"/>
          </w:tcPr>
          <w:p w14:paraId="66026852" w14:textId="77777777" w:rsidR="009566A7" w:rsidRPr="004A36FA" w:rsidRDefault="009566A7" w:rsidP="00AE20FC">
            <w:pPr>
              <w:keepNext/>
              <w:spacing w:before="20" w:after="20"/>
              <w:rPr>
                <w:sz w:val="20"/>
                <w:szCs w:val="20"/>
              </w:rPr>
            </w:pPr>
            <w:r w:rsidRPr="004A36FA">
              <w:rPr>
                <w:sz w:val="20"/>
                <w:szCs w:val="20"/>
              </w:rPr>
              <w:t>Transport zur Sortieranlage</w:t>
            </w:r>
          </w:p>
        </w:tc>
      </w:tr>
      <w:tr w:rsidR="009566A7" w:rsidRPr="004A36FA" w14:paraId="03B8A1E6" w14:textId="77777777" w:rsidTr="00AE20FC">
        <w:tc>
          <w:tcPr>
            <w:tcW w:w="1134" w:type="dxa"/>
            <w:vAlign w:val="center"/>
          </w:tcPr>
          <w:p w14:paraId="29CD3B7E" w14:textId="77777777" w:rsidR="009566A7" w:rsidRPr="004A36FA" w:rsidRDefault="009566A7" w:rsidP="00AE20FC">
            <w:pPr>
              <w:keepNext/>
              <w:spacing w:before="20" w:after="20"/>
              <w:jc w:val="center"/>
              <w:rPr>
                <w:sz w:val="20"/>
                <w:szCs w:val="20"/>
              </w:rPr>
            </w:pPr>
            <w:r w:rsidRPr="004A36FA">
              <w:rPr>
                <w:sz w:val="20"/>
                <w:szCs w:val="20"/>
              </w:rPr>
              <w:t>C3</w:t>
            </w:r>
          </w:p>
        </w:tc>
        <w:tc>
          <w:tcPr>
            <w:tcW w:w="5386" w:type="dxa"/>
            <w:vAlign w:val="center"/>
          </w:tcPr>
          <w:p w14:paraId="417013E9" w14:textId="77777777" w:rsidR="009566A7" w:rsidRPr="004A36FA" w:rsidRDefault="009566A7" w:rsidP="00AE20FC">
            <w:pPr>
              <w:keepNext/>
              <w:spacing w:before="20" w:after="20"/>
              <w:rPr>
                <w:sz w:val="20"/>
                <w:szCs w:val="20"/>
              </w:rPr>
            </w:pPr>
            <w:r w:rsidRPr="004A36FA">
              <w:rPr>
                <w:sz w:val="20"/>
                <w:szCs w:val="20"/>
              </w:rPr>
              <w:t>Sortierung und Aufbereitung</w:t>
            </w:r>
          </w:p>
        </w:tc>
      </w:tr>
      <w:tr w:rsidR="009566A7" w:rsidRPr="004A36FA" w14:paraId="2FCD5B12" w14:textId="77777777" w:rsidTr="00AE20FC">
        <w:tc>
          <w:tcPr>
            <w:tcW w:w="1134" w:type="dxa"/>
            <w:vAlign w:val="center"/>
          </w:tcPr>
          <w:p w14:paraId="5D279645" w14:textId="77777777" w:rsidR="009566A7" w:rsidRPr="004A36FA" w:rsidRDefault="009566A7" w:rsidP="00AE20FC">
            <w:pPr>
              <w:keepNext/>
              <w:spacing w:before="20" w:after="20"/>
              <w:jc w:val="center"/>
              <w:rPr>
                <w:sz w:val="20"/>
                <w:szCs w:val="20"/>
              </w:rPr>
            </w:pPr>
            <w:r w:rsidRPr="004A36FA">
              <w:rPr>
                <w:sz w:val="20"/>
                <w:szCs w:val="20"/>
              </w:rPr>
              <w:t>C4</w:t>
            </w:r>
          </w:p>
        </w:tc>
        <w:tc>
          <w:tcPr>
            <w:tcW w:w="5386" w:type="dxa"/>
            <w:shd w:val="clear" w:color="auto" w:fill="DBE5F1" w:themeFill="accent1" w:themeFillTint="33"/>
            <w:vAlign w:val="center"/>
          </w:tcPr>
          <w:p w14:paraId="52BCCB3A" w14:textId="77777777" w:rsidR="009566A7" w:rsidRPr="004A36FA" w:rsidRDefault="009566A7" w:rsidP="00AE20FC">
            <w:pPr>
              <w:keepNext/>
              <w:spacing w:before="20" w:after="20"/>
              <w:rPr>
                <w:sz w:val="20"/>
                <w:szCs w:val="20"/>
              </w:rPr>
            </w:pPr>
          </w:p>
        </w:tc>
      </w:tr>
      <w:tr w:rsidR="009566A7" w:rsidRPr="004A36FA" w14:paraId="713C73BB" w14:textId="77777777" w:rsidTr="00AE20FC">
        <w:tc>
          <w:tcPr>
            <w:tcW w:w="1134" w:type="dxa"/>
            <w:vAlign w:val="center"/>
          </w:tcPr>
          <w:p w14:paraId="742B83B3" w14:textId="77777777" w:rsidR="009566A7" w:rsidRPr="004A36FA" w:rsidRDefault="009566A7" w:rsidP="00AE20FC">
            <w:pPr>
              <w:keepNext/>
              <w:spacing w:before="20" w:after="20"/>
              <w:jc w:val="center"/>
              <w:rPr>
                <w:sz w:val="20"/>
                <w:szCs w:val="20"/>
              </w:rPr>
            </w:pPr>
            <w:r w:rsidRPr="004A36FA">
              <w:rPr>
                <w:sz w:val="20"/>
                <w:szCs w:val="20"/>
              </w:rPr>
              <w:t>D</w:t>
            </w:r>
          </w:p>
        </w:tc>
        <w:tc>
          <w:tcPr>
            <w:tcW w:w="5386" w:type="dxa"/>
            <w:vAlign w:val="center"/>
          </w:tcPr>
          <w:p w14:paraId="446852C7" w14:textId="77777777" w:rsidR="009566A7" w:rsidRPr="004A36FA" w:rsidRDefault="009566A7" w:rsidP="00AE20FC">
            <w:pPr>
              <w:keepNext/>
              <w:spacing w:before="20" w:after="20"/>
              <w:rPr>
                <w:sz w:val="20"/>
                <w:szCs w:val="20"/>
              </w:rPr>
            </w:pPr>
            <w:r w:rsidRPr="004A36FA">
              <w:rPr>
                <w:sz w:val="20"/>
                <w:szCs w:val="20"/>
              </w:rPr>
              <w:t xml:space="preserve">Vermiedene Auswirkungen </w:t>
            </w:r>
            <w:r w:rsidRPr="00501F64">
              <w:rPr>
                <w:sz w:val="20"/>
                <w:szCs w:val="20"/>
              </w:rPr>
              <w:t>der Bereitstellung des substituierten Primärmaterials</w:t>
            </w:r>
          </w:p>
        </w:tc>
      </w:tr>
    </w:tbl>
    <w:p w14:paraId="3730CC2A" w14:textId="1501F069" w:rsidR="009566A7" w:rsidRDefault="009566A7" w:rsidP="009566A7">
      <w:pPr>
        <w:ind w:left="851"/>
      </w:pPr>
      <w:r>
        <w:br/>
        <w:t xml:space="preserve">Anmerkung zu Holz und Holzwerkstoffen: Der Vergleich der </w:t>
      </w:r>
      <w:r w:rsidRPr="00933B79">
        <w:fldChar w:fldCharType="begin"/>
      </w:r>
      <w:r w:rsidRPr="00933B79">
        <w:instrText xml:space="preserve"> REF _Ref78469510 \h  \* MERGEFORMAT </w:instrText>
      </w:r>
      <w:r w:rsidRPr="00933B79">
        <w:fldChar w:fldCharType="separate"/>
      </w:r>
      <w:r w:rsidR="00223538" w:rsidRPr="00223538">
        <w:t xml:space="preserve">Tabelle </w:t>
      </w:r>
      <w:r w:rsidR="00223538" w:rsidRPr="00223538">
        <w:rPr>
          <w:noProof/>
        </w:rPr>
        <w:t>4</w:t>
      </w:r>
      <w:r w:rsidRPr="00933B79">
        <w:fldChar w:fldCharType="end"/>
      </w:r>
      <w:r w:rsidRPr="00933B79">
        <w:t xml:space="preserve"> </w:t>
      </w:r>
      <w:r>
        <w:t xml:space="preserve">mit </w:t>
      </w:r>
      <w:r w:rsidRPr="00A65DB4">
        <w:fldChar w:fldCharType="begin"/>
      </w:r>
      <w:r w:rsidRPr="00A65DB4">
        <w:instrText xml:space="preserve"> REF _Ref77095993 \h  \* MERGEFORMAT </w:instrText>
      </w:r>
      <w:r w:rsidRPr="00A65DB4">
        <w:fldChar w:fldCharType="separate"/>
      </w:r>
      <w:r w:rsidR="00223538" w:rsidRPr="00223538">
        <w:t xml:space="preserve">Tabelle </w:t>
      </w:r>
      <w:r w:rsidR="00223538" w:rsidRPr="00223538">
        <w:rPr>
          <w:noProof/>
        </w:rPr>
        <w:t>1</w:t>
      </w:r>
      <w:r w:rsidRPr="00A65DB4">
        <w:fldChar w:fldCharType="end"/>
      </w:r>
      <w:r>
        <w:t xml:space="preserve"> macht deutlich, dass sich die Szenarien „Recycling“ und „Verwertung als Sekundärbrennstoff“ nur im Modul D unterscheiden. Die Umweltindikatorwerte für die Module C1 bis C3 unterscheiden sich deshalb in der Regel zwischen den beiden Szenarien kaum.</w:t>
      </w:r>
    </w:p>
    <w:p w14:paraId="66152B37" w14:textId="77777777" w:rsidR="009566A7" w:rsidRPr="00360EC0" w:rsidRDefault="009566A7" w:rsidP="009566A7">
      <w:pPr>
        <w:pStyle w:val="berschrift3"/>
        <w:rPr>
          <w:rFonts w:eastAsiaTheme="majorEastAsia"/>
          <w:w w:val="103"/>
        </w:rPr>
      </w:pPr>
      <w:r>
        <w:rPr>
          <w:rFonts w:eastAsiaTheme="majorEastAsia"/>
          <w:w w:val="103"/>
        </w:rPr>
        <w:t xml:space="preserve">B3.2 </w:t>
      </w:r>
      <w:r w:rsidRPr="00360EC0">
        <w:rPr>
          <w:rFonts w:eastAsiaTheme="majorEastAsia"/>
          <w:w w:val="103"/>
        </w:rPr>
        <w:t>Ende der Abfalleigenschaften</w:t>
      </w:r>
    </w:p>
    <w:p w14:paraId="5527D384" w14:textId="77777777" w:rsidR="009566A7" w:rsidRDefault="009566A7" w:rsidP="009566A7">
      <w:pPr>
        <w:pStyle w:val="Regeln"/>
        <w:ind w:left="851" w:hanging="284"/>
      </w:pPr>
      <w:r>
        <w:t>Das Ende der Abfalleigenschaften wird in EN 15804+A2. 6.3.5.5 Entsorgungsphase folgendermaßen beschrieben:</w:t>
      </w:r>
    </w:p>
    <w:p w14:paraId="73EA566D" w14:textId="77777777" w:rsidR="009566A7" w:rsidRDefault="009566A7" w:rsidP="009566A7">
      <w:pPr>
        <w:pStyle w:val="StandardAbs"/>
        <w:ind w:left="851"/>
      </w:pPr>
      <w:r>
        <w:t>„</w:t>
      </w:r>
      <w:r w:rsidRPr="000F4154">
        <w:t xml:space="preserve">Dieser Output wird jedoch </w:t>
      </w:r>
      <w:r w:rsidRPr="00360EC0">
        <w:rPr>
          <w:b/>
        </w:rPr>
        <w:t>nicht</w:t>
      </w:r>
      <w:r w:rsidRPr="000F4154">
        <w:t xml:space="preserve"> als Abfall betrachtet</w:t>
      </w:r>
      <w:r>
        <w:t xml:space="preserve">, wenn er mit den folgenden Kriterien übereinstimmt: </w:t>
      </w:r>
    </w:p>
    <w:p w14:paraId="00028DE3" w14:textId="77777777" w:rsidR="009566A7" w:rsidRDefault="009566A7" w:rsidP="009566A7">
      <w:pPr>
        <w:pStyle w:val="Listenabsatz"/>
        <w:numPr>
          <w:ilvl w:val="0"/>
          <w:numId w:val="19"/>
        </w:numPr>
      </w:pPr>
      <w:r>
        <w:t xml:space="preserve">das zurückgewonnene Material, Produkt oder Bauelement wird gemeinhin für bestimmte Zwecke verwendet; </w:t>
      </w:r>
    </w:p>
    <w:p w14:paraId="7D09DB5C" w14:textId="77777777" w:rsidR="009566A7" w:rsidRDefault="009566A7" w:rsidP="009566A7">
      <w:pPr>
        <w:pStyle w:val="Listenabsatz"/>
        <w:numPr>
          <w:ilvl w:val="0"/>
          <w:numId w:val="19"/>
        </w:numPr>
      </w:pPr>
      <w:r>
        <w:t xml:space="preserve">es besteht ein Markt, charakterisiert z.B. durch einen positiven ökonomischen Wert, für das zurückgewonnene Material, Produkt oder Bauelement oder eine Nachfrage danach; </w:t>
      </w:r>
    </w:p>
    <w:p w14:paraId="7E314477" w14:textId="77777777" w:rsidR="009566A7" w:rsidRDefault="009566A7" w:rsidP="009566A7">
      <w:pPr>
        <w:pStyle w:val="Listenabsatz"/>
        <w:numPr>
          <w:ilvl w:val="0"/>
          <w:numId w:val="19"/>
        </w:numPr>
      </w:pPr>
      <w:r>
        <w:t xml:space="preserve">das zurückgewonnene Material, Produkt oder Bauelement erfüllt die technischen Anforderungen für die bestimmten Zwecke und genügt den bestehenden Rechtsvorschriften und Normen für Erzeugnisse; </w:t>
      </w:r>
    </w:p>
    <w:p w14:paraId="431C9486" w14:textId="77777777" w:rsidR="009566A7" w:rsidRDefault="009566A7" w:rsidP="009566A7">
      <w:pPr>
        <w:pStyle w:val="Listenabsatz"/>
        <w:numPr>
          <w:ilvl w:val="0"/>
          <w:numId w:val="19"/>
        </w:numPr>
      </w:pPr>
      <w:r>
        <w:lastRenderedPageBreak/>
        <w:t xml:space="preserve">die Verwendung des zurückgewonnenen Materials, Produkts oder Bauelements führt nicht zu insgesamt schädlichen Umwelt- oder Gesundheitsfolgen. </w:t>
      </w:r>
    </w:p>
    <w:p w14:paraId="3A7AA5EE" w14:textId="77777777" w:rsidR="009566A7" w:rsidRDefault="009566A7" w:rsidP="009566A7">
      <w:pPr>
        <w:pStyle w:val="StandardAbs"/>
        <w:ind w:left="851"/>
      </w:pPr>
      <w:r>
        <w:t xml:space="preserve">Die Systemgrenze zwischen der Entsorgung und Modul D wird dort gezogen, </w:t>
      </w:r>
      <w:r w:rsidRPr="000F4154">
        <w:rPr>
          <w:b/>
        </w:rPr>
        <w:t>wo die Outputs, d. h. Sekundärstoffe oder -brennstoffe, das Ende der Abfalleigenschaft</w:t>
      </w:r>
      <w:r>
        <w:t xml:space="preserve"> erreichen.“</w:t>
      </w:r>
    </w:p>
    <w:p w14:paraId="0E3C7FB8" w14:textId="77777777" w:rsidR="009566A7" w:rsidRDefault="009566A7" w:rsidP="009566A7">
      <w:pPr>
        <w:pStyle w:val="StandardAbs"/>
        <w:ind w:left="851"/>
      </w:pPr>
      <w:r>
        <w:t>„ANMERKUNG 3 Im Prinzip ist die Abfallbehandlung Teil des untersuchten Produktsystems. Im Fall von Stoffen, die das System als Sekundärstoffe oder -brennstoffe verlassen, sind Prozesse wie Sammlung und Transport vor dem Erreichen des Endes der Abfalleigenschaft in der Regel Teil der Abfallbehandlung des untersuchten Produktsystems. Es kann jedoch sein, dass nach Erreichen des Endes der Abfalleigenschaft weitere Prozesse erforderlich sind, damit Primärstoffe oder -brennstoffe in einem anderen Produktsystem ersetzt werden können.“ Solche Prozesse werden dann als außerhalb der Systemgrenzen liegend angesehen und dem Modul D zugeordnet.“</w:t>
      </w:r>
    </w:p>
    <w:p w14:paraId="41FC6AAB" w14:textId="77777777" w:rsidR="009566A7" w:rsidRDefault="009566A7" w:rsidP="00DA1C03"/>
    <w:p w14:paraId="1FFF9F20" w14:textId="77777777" w:rsidR="008A0BD9" w:rsidRDefault="008A0BD9" w:rsidP="008A0BD9">
      <w:pPr>
        <w:pStyle w:val="berschrift3"/>
      </w:pPr>
      <w:r>
        <w:t xml:space="preserve">B3.3 </w:t>
      </w:r>
      <w:r w:rsidRPr="00BC4A18">
        <w:t>Ver</w:t>
      </w:r>
      <w:r>
        <w:t>rechnung</w:t>
      </w:r>
      <w:r w:rsidRPr="00BC4A18">
        <w:t xml:space="preserve"> der </w:t>
      </w:r>
      <w:r>
        <w:t>materialinhärent</w:t>
      </w:r>
      <w:r w:rsidRPr="00BC4A18">
        <w:t>en Eigenschaften</w:t>
      </w:r>
      <w:r w:rsidRPr="00A47279">
        <w:t xml:space="preserve"> </w:t>
      </w:r>
      <w:r>
        <w:t>und der Umweltinformationen zur Beschreibung der Outputflüsse</w:t>
      </w:r>
      <w:r w:rsidRPr="00BC4A18">
        <w:t>:</w:t>
      </w:r>
      <w:bookmarkEnd w:id="13"/>
    </w:p>
    <w:p w14:paraId="2C885608" w14:textId="54938094" w:rsidR="008A0BD9" w:rsidRDefault="008A0BD9" w:rsidP="008A0BD9">
      <w:pPr>
        <w:pStyle w:val="Regeln"/>
        <w:ind w:left="851" w:hanging="284"/>
      </w:pPr>
      <w:r>
        <w:t xml:space="preserve">Entsprechend der Modellierung der Entsorgungsverfahren sind die materialinhärenten Eigenschaften und die Umweltinformationen zur Beschreibung der Outputflüsse </w:t>
      </w:r>
      <w:r w:rsidRPr="00402BA5">
        <w:t xml:space="preserve">wie in </w:t>
      </w:r>
      <w:r w:rsidRPr="0035302F">
        <w:fldChar w:fldCharType="begin"/>
      </w:r>
      <w:r w:rsidRPr="0035302F">
        <w:instrText xml:space="preserve"> REF _Ref88643039 \h  \* MERGEFORMAT </w:instrText>
      </w:r>
      <w:r w:rsidRPr="0035302F">
        <w:fldChar w:fldCharType="separate"/>
      </w:r>
      <w:r w:rsidR="00223538" w:rsidRPr="00223538">
        <w:t xml:space="preserve">Tabelle </w:t>
      </w:r>
      <w:r w:rsidR="00223538" w:rsidRPr="00223538">
        <w:rPr>
          <w:noProof/>
        </w:rPr>
        <w:t>5</w:t>
      </w:r>
      <w:r w:rsidRPr="0035302F">
        <w:fldChar w:fldCharType="end"/>
      </w:r>
      <w:r w:rsidRPr="00402BA5">
        <w:t xml:space="preserve"> dargestellt</w:t>
      </w:r>
      <w:r>
        <w:t xml:space="preserve"> zu deklarieren:</w:t>
      </w:r>
    </w:p>
    <w:p w14:paraId="05594EB8" w14:textId="29ABA3FF" w:rsidR="008A0BD9" w:rsidRPr="007D55C7" w:rsidRDefault="008A0BD9" w:rsidP="008A0BD9">
      <w:pPr>
        <w:pStyle w:val="Regeln"/>
        <w:numPr>
          <w:ilvl w:val="0"/>
          <w:numId w:val="0"/>
        </w:numPr>
        <w:ind w:left="851"/>
        <w:rPr>
          <w:i/>
        </w:rPr>
      </w:pPr>
      <w:bookmarkStart w:id="15" w:name="_Ref88643039"/>
      <w:r w:rsidRPr="004A36FA">
        <w:rPr>
          <w:b/>
        </w:rPr>
        <w:t xml:space="preserve">Tabelle </w:t>
      </w:r>
      <w:bookmarkStart w:id="16" w:name="_Ref78472442"/>
      <w:r w:rsidRPr="004A36FA">
        <w:rPr>
          <w:b/>
        </w:rPr>
        <w:fldChar w:fldCharType="begin"/>
      </w:r>
      <w:r w:rsidRPr="004A36FA">
        <w:rPr>
          <w:b/>
        </w:rPr>
        <w:instrText xml:space="preserve"> SEQ Tabelle \* ARABIC </w:instrText>
      </w:r>
      <w:r w:rsidRPr="004A36FA">
        <w:rPr>
          <w:b/>
        </w:rPr>
        <w:fldChar w:fldCharType="separate"/>
      </w:r>
      <w:r w:rsidR="00223538">
        <w:rPr>
          <w:b/>
          <w:noProof/>
        </w:rPr>
        <w:t>5</w:t>
      </w:r>
      <w:r w:rsidRPr="004A36FA">
        <w:rPr>
          <w:b/>
        </w:rPr>
        <w:fldChar w:fldCharType="end"/>
      </w:r>
      <w:bookmarkEnd w:id="15"/>
      <w:bookmarkEnd w:id="16"/>
      <w:r>
        <w:rPr>
          <w:b/>
        </w:rPr>
        <w:t>:</w:t>
      </w:r>
      <w:r w:rsidRPr="001D072C">
        <w:t xml:space="preserve"> </w:t>
      </w:r>
      <w:r>
        <w:t>Verrechnung der materialinhärenten Eigenschaften</w:t>
      </w:r>
      <w:r w:rsidRPr="00A47279">
        <w:t xml:space="preserve"> </w:t>
      </w:r>
      <w:r>
        <w:t>und der Umweltinformation zu Beschreibung der Outputflüsse</w:t>
      </w:r>
    </w:p>
    <w:tbl>
      <w:tblPr>
        <w:tblStyle w:val="Tabellenraster"/>
        <w:tblW w:w="4394" w:type="dxa"/>
        <w:tblInd w:w="846" w:type="dxa"/>
        <w:tblLayout w:type="fixed"/>
        <w:tblLook w:val="04A0" w:firstRow="1" w:lastRow="0" w:firstColumn="1" w:lastColumn="0" w:noHBand="0" w:noVBand="1"/>
      </w:tblPr>
      <w:tblGrid>
        <w:gridCol w:w="1559"/>
        <w:gridCol w:w="2835"/>
      </w:tblGrid>
      <w:tr w:rsidR="008A0BD9" w:rsidRPr="001D072C" w14:paraId="718A8413" w14:textId="77777777" w:rsidTr="00C4733F">
        <w:tc>
          <w:tcPr>
            <w:tcW w:w="1559" w:type="dxa"/>
          </w:tcPr>
          <w:p w14:paraId="4E2DAC34" w14:textId="77777777" w:rsidR="008A0BD9" w:rsidRPr="001D072C" w:rsidRDefault="008A0BD9" w:rsidP="00C4733F">
            <w:pPr>
              <w:spacing w:before="20" w:after="20"/>
              <w:contextualSpacing/>
              <w:jc w:val="center"/>
              <w:rPr>
                <w:sz w:val="20"/>
              </w:rPr>
            </w:pPr>
            <w:bookmarkStart w:id="17" w:name="_Hlk82163710"/>
            <w:r>
              <w:rPr>
                <w:sz w:val="20"/>
              </w:rPr>
              <w:t>Modul</w:t>
            </w:r>
          </w:p>
        </w:tc>
        <w:tc>
          <w:tcPr>
            <w:tcW w:w="2835" w:type="dxa"/>
            <w:vAlign w:val="center"/>
          </w:tcPr>
          <w:p w14:paraId="49342C0B" w14:textId="77777777" w:rsidR="008A0BD9" w:rsidRPr="001D072C" w:rsidRDefault="008A0BD9" w:rsidP="00C4733F">
            <w:pPr>
              <w:spacing w:before="20" w:after="20"/>
              <w:contextualSpacing/>
              <w:jc w:val="center"/>
              <w:rPr>
                <w:b/>
                <w:sz w:val="20"/>
              </w:rPr>
            </w:pPr>
            <w:r>
              <w:rPr>
                <w:b/>
                <w:sz w:val="20"/>
                <w:szCs w:val="20"/>
              </w:rPr>
              <w:t>Recycling</w:t>
            </w:r>
          </w:p>
        </w:tc>
      </w:tr>
      <w:tr w:rsidR="008A0BD9" w:rsidRPr="00851AF3" w14:paraId="4AE681D4" w14:textId="77777777" w:rsidTr="00C4733F">
        <w:tc>
          <w:tcPr>
            <w:tcW w:w="1559" w:type="dxa"/>
          </w:tcPr>
          <w:p w14:paraId="69F9C430" w14:textId="77777777" w:rsidR="008A0BD9" w:rsidRPr="001D072C" w:rsidRDefault="008A0BD9" w:rsidP="00C4733F">
            <w:pPr>
              <w:spacing w:before="20" w:after="20"/>
              <w:contextualSpacing/>
              <w:jc w:val="center"/>
              <w:rPr>
                <w:sz w:val="20"/>
              </w:rPr>
            </w:pPr>
            <w:r>
              <w:rPr>
                <w:sz w:val="20"/>
              </w:rPr>
              <w:t>C1, C2 oder C3</w:t>
            </w:r>
          </w:p>
        </w:tc>
        <w:tc>
          <w:tcPr>
            <w:tcW w:w="2835" w:type="dxa"/>
          </w:tcPr>
          <w:p w14:paraId="2DE845DF" w14:textId="77777777" w:rsidR="008A0BD9" w:rsidRDefault="008A0BD9" w:rsidP="00C4733F">
            <w:pPr>
              <w:spacing w:before="20" w:after="20"/>
              <w:contextualSpacing/>
              <w:rPr>
                <w:sz w:val="20"/>
                <w:lang w:val="de-AT"/>
              </w:rPr>
            </w:pPr>
            <w:r w:rsidRPr="00851AF3">
              <w:rPr>
                <w:sz w:val="20"/>
                <w:lang w:val="de-AT"/>
              </w:rPr>
              <w:t>- PERM</w:t>
            </w:r>
            <w:r w:rsidRPr="00851AF3">
              <w:rPr>
                <w:sz w:val="20"/>
                <w:lang w:val="de-AT"/>
              </w:rPr>
              <w:br/>
              <w:t>- PENRM</w:t>
            </w:r>
          </w:p>
          <w:p w14:paraId="42CD4D16" w14:textId="77777777" w:rsidR="008A0BD9" w:rsidRDefault="008A0BD9" w:rsidP="00C4733F">
            <w:pPr>
              <w:spacing w:before="120" w:after="20"/>
              <w:rPr>
                <w:sz w:val="20"/>
                <w:lang w:val="de-AT"/>
              </w:rPr>
            </w:pPr>
            <w:r w:rsidRPr="00851AF3">
              <w:rPr>
                <w:sz w:val="20"/>
                <w:lang w:val="de-AT"/>
              </w:rPr>
              <w:t>+ GWP biogen</w:t>
            </w:r>
            <w:r>
              <w:rPr>
                <w:sz w:val="20"/>
                <w:lang w:val="de-AT"/>
              </w:rPr>
              <w:t xml:space="preserve"> (-</w:t>
            </w:r>
            <w:r w:rsidRPr="00851AF3">
              <w:rPr>
                <w:sz w:val="20"/>
                <w:lang w:val="de-AT"/>
              </w:rPr>
              <w:t>C-Gehalt)</w:t>
            </w:r>
          </w:p>
          <w:p w14:paraId="59130CFF" w14:textId="77777777" w:rsidR="008A0BD9" w:rsidRPr="00851AF3" w:rsidRDefault="008A0BD9" w:rsidP="00C4733F">
            <w:pPr>
              <w:spacing w:before="120" w:after="20"/>
              <w:rPr>
                <w:sz w:val="20"/>
                <w:lang w:val="de-AT"/>
              </w:rPr>
            </w:pPr>
            <w:r>
              <w:rPr>
                <w:sz w:val="20"/>
                <w:lang w:val="de-AT"/>
              </w:rPr>
              <w:t>+ MFR (Stoffe zum Recycling)</w:t>
            </w:r>
          </w:p>
        </w:tc>
      </w:tr>
      <w:tr w:rsidR="008A0BD9" w:rsidRPr="001D072C" w14:paraId="1967B877" w14:textId="77777777" w:rsidTr="00C4733F">
        <w:tc>
          <w:tcPr>
            <w:tcW w:w="1559" w:type="dxa"/>
          </w:tcPr>
          <w:p w14:paraId="080F9123" w14:textId="77777777" w:rsidR="008A0BD9" w:rsidRPr="001D072C" w:rsidRDefault="008A0BD9" w:rsidP="00C4733F">
            <w:pPr>
              <w:spacing w:before="20" w:after="20"/>
              <w:contextualSpacing/>
              <w:jc w:val="center"/>
              <w:rPr>
                <w:sz w:val="20"/>
              </w:rPr>
            </w:pPr>
            <w:r w:rsidRPr="001D072C">
              <w:rPr>
                <w:sz w:val="20"/>
              </w:rPr>
              <w:t>D</w:t>
            </w:r>
          </w:p>
        </w:tc>
        <w:tc>
          <w:tcPr>
            <w:tcW w:w="2835" w:type="dxa"/>
            <w:shd w:val="clear" w:color="auto" w:fill="auto"/>
          </w:tcPr>
          <w:p w14:paraId="583FAD80" w14:textId="77777777" w:rsidR="008A0BD9" w:rsidRDefault="008A0BD9" w:rsidP="00C4733F">
            <w:pPr>
              <w:spacing w:before="60" w:after="20"/>
              <w:contextualSpacing/>
              <w:rPr>
                <w:sz w:val="20"/>
                <w:lang w:val="de-AT"/>
              </w:rPr>
            </w:pPr>
            <w:r>
              <w:rPr>
                <w:sz w:val="20"/>
                <w:lang w:val="de-AT"/>
              </w:rPr>
              <w:t xml:space="preserve">+ </w:t>
            </w:r>
            <w:r w:rsidRPr="00851AF3">
              <w:rPr>
                <w:sz w:val="20"/>
                <w:lang w:val="de-AT"/>
              </w:rPr>
              <w:t>PERM</w:t>
            </w:r>
            <w:r>
              <w:rPr>
                <w:sz w:val="20"/>
                <w:lang w:val="de-AT"/>
              </w:rPr>
              <w:t xml:space="preserve"> = 0</w:t>
            </w:r>
            <w:r w:rsidRPr="00851AF3">
              <w:rPr>
                <w:sz w:val="20"/>
                <w:lang w:val="de-AT"/>
              </w:rPr>
              <w:br/>
            </w:r>
            <w:r>
              <w:rPr>
                <w:sz w:val="20"/>
                <w:lang w:val="de-AT"/>
              </w:rPr>
              <w:t>+</w:t>
            </w:r>
            <w:r w:rsidRPr="00851AF3">
              <w:rPr>
                <w:sz w:val="20"/>
                <w:lang w:val="de-AT"/>
              </w:rPr>
              <w:t xml:space="preserve"> PENRM</w:t>
            </w:r>
            <w:r>
              <w:rPr>
                <w:sz w:val="20"/>
                <w:lang w:val="de-AT"/>
              </w:rPr>
              <w:t xml:space="preserve"> = 0</w:t>
            </w:r>
          </w:p>
          <w:p w14:paraId="1DEFF3C6" w14:textId="77777777" w:rsidR="008A0BD9" w:rsidRPr="00081517" w:rsidRDefault="008A0BD9" w:rsidP="00C4733F">
            <w:pPr>
              <w:spacing w:before="120" w:after="20"/>
              <w:rPr>
                <w:sz w:val="20"/>
                <w:lang w:val="de-AT"/>
              </w:rPr>
            </w:pPr>
            <w:r>
              <w:rPr>
                <w:sz w:val="20"/>
                <w:lang w:val="de-AT"/>
              </w:rPr>
              <w:t xml:space="preserve">+ </w:t>
            </w:r>
            <w:r w:rsidRPr="00851AF3">
              <w:rPr>
                <w:sz w:val="20"/>
                <w:lang w:val="de-AT"/>
              </w:rPr>
              <w:t xml:space="preserve">C-Gehalt </w:t>
            </w:r>
            <w:r>
              <w:rPr>
                <w:sz w:val="20"/>
                <w:lang w:val="de-AT"/>
              </w:rPr>
              <w:t>(-</w:t>
            </w:r>
            <w:r w:rsidRPr="00851AF3">
              <w:rPr>
                <w:sz w:val="20"/>
                <w:lang w:val="de-AT"/>
              </w:rPr>
              <w:t xml:space="preserve"> GWP biogen</w:t>
            </w:r>
            <w:r>
              <w:rPr>
                <w:sz w:val="20"/>
                <w:lang w:val="de-AT"/>
              </w:rPr>
              <w:t>) = 0</w:t>
            </w:r>
          </w:p>
        </w:tc>
      </w:tr>
    </w:tbl>
    <w:bookmarkEnd w:id="17"/>
    <w:p w14:paraId="3B1C7649" w14:textId="77777777" w:rsidR="008A0BD9" w:rsidRPr="00852833" w:rsidRDefault="008A0BD9" w:rsidP="008A0BD9">
      <w:pPr>
        <w:spacing w:before="120"/>
        <w:ind w:left="710" w:firstLine="141"/>
        <w:rPr>
          <w:lang w:val="de-AT"/>
        </w:rPr>
      </w:pPr>
      <w:r w:rsidRPr="00BC4A18">
        <w:rPr>
          <w:u w:val="single"/>
          <w:lang w:val="de-AT"/>
        </w:rPr>
        <w:t>Erläuterung</w:t>
      </w:r>
      <w:r>
        <w:rPr>
          <w:lang w:val="de-AT"/>
        </w:rPr>
        <w:t>:</w:t>
      </w:r>
    </w:p>
    <w:p w14:paraId="4DF2AC2E" w14:textId="77777777" w:rsidR="008A0BD9" w:rsidRDefault="008A0BD9" w:rsidP="008A0BD9">
      <w:pPr>
        <w:spacing w:before="120"/>
        <w:ind w:left="851"/>
      </w:pPr>
      <w:r>
        <w:t>D</w:t>
      </w:r>
      <w:r w:rsidRPr="004F4946">
        <w:t xml:space="preserve">ie </w:t>
      </w:r>
      <w:r>
        <w:t xml:space="preserve">rohstofflich im Material enthaltene </w:t>
      </w:r>
      <w:r w:rsidRPr="004F4946">
        <w:t xml:space="preserve">Primärenergie (PERM, PENRM) </w:t>
      </w:r>
      <w:r>
        <w:t xml:space="preserve">wird als materialinhärente Eigenschaft vom Modul C an das Modul D </w:t>
      </w:r>
      <w:r w:rsidRPr="004A4ECC">
        <w:t>übergeben. Sie ist daher als negativer Wert in</w:t>
      </w:r>
      <w:r>
        <w:t xml:space="preserve"> Modul</w:t>
      </w:r>
      <w:r w:rsidRPr="004A4ECC">
        <w:t xml:space="preserve"> C anzugeben.</w:t>
      </w:r>
      <w:r>
        <w:t xml:space="preserve"> Analog ist d</w:t>
      </w:r>
      <w:r w:rsidRPr="004A4ECC">
        <w:t>as Treibhauspotenzial des im biogenen Material gespeicherten CO</w:t>
      </w:r>
      <w:r w:rsidRPr="004A4ECC">
        <w:rPr>
          <w:vertAlign w:val="subscript"/>
        </w:rPr>
        <w:t>2</w:t>
      </w:r>
      <w:r w:rsidRPr="004A4ECC">
        <w:t xml:space="preserve"> ist i</w:t>
      </w:r>
      <w:r>
        <w:t>n</w:t>
      </w:r>
      <w:r w:rsidRPr="004A4ECC">
        <w:t xml:space="preserve"> Modul C als positiver Wert mit +1</w:t>
      </w:r>
      <w:r>
        <w:t> </w:t>
      </w:r>
      <w:r w:rsidRPr="004A4ECC">
        <w:t>kg</w:t>
      </w:r>
      <w:r>
        <w:t> </w:t>
      </w:r>
      <w:r w:rsidRPr="004A4ECC">
        <w:t>CO</w:t>
      </w:r>
      <w:r w:rsidRPr="004A4ECC">
        <w:rPr>
          <w:vertAlign w:val="subscript"/>
        </w:rPr>
        <w:t>2</w:t>
      </w:r>
      <w:r w:rsidRPr="004A4ECC">
        <w:t>-Äq/kg</w:t>
      </w:r>
      <w:r>
        <w:t> </w:t>
      </w:r>
      <w:r w:rsidRPr="004A4ECC">
        <w:t>CO</w:t>
      </w:r>
      <w:r w:rsidRPr="004A4ECC">
        <w:rPr>
          <w:vertAlign w:val="subscript"/>
        </w:rPr>
        <w:t>2</w:t>
      </w:r>
      <w:r w:rsidRPr="004A4ECC">
        <w:t xml:space="preserve"> </w:t>
      </w:r>
      <w:r>
        <w:t xml:space="preserve">im GWP biogen </w:t>
      </w:r>
      <w:r w:rsidRPr="004A4ECC">
        <w:t>an</w:t>
      </w:r>
      <w:r>
        <w:t>zugeben</w:t>
      </w:r>
      <w:r w:rsidRPr="004A4ECC">
        <w:t xml:space="preserve"> (EN 15804, C2 „Übergänge von Biomasse in nachfolgende Produktsysteme“)</w:t>
      </w:r>
      <w:r>
        <w:t>. Ob dies im Modul C1, C2 oder C3 erfolgt, ist von den Annahmen abhängig, mit denen das Ende der Abfalleigenschaft festlegt wird.</w:t>
      </w:r>
    </w:p>
    <w:p w14:paraId="71C43C7F" w14:textId="1051C189" w:rsidR="008A0BD9" w:rsidRDefault="008A0BD9" w:rsidP="008A0BD9">
      <w:pPr>
        <w:spacing w:before="120"/>
        <w:ind w:left="851"/>
        <w:rPr>
          <w:b/>
          <w:w w:val="103"/>
        </w:rPr>
      </w:pPr>
      <w:r>
        <w:t xml:space="preserve">Sowohl die mit dem Nettofluss des Sekundärmaterials nach Modul D übertragene rohstofflich genutzte Energie (PERM, PENRM) als auch das </w:t>
      </w:r>
      <w:r w:rsidRPr="004A4ECC">
        <w:t>im biogenen Material gespeicherte</w:t>
      </w:r>
      <w:r>
        <w:t xml:space="preserve"> und in das Modul D eingehende biogene</w:t>
      </w:r>
      <w:r w:rsidRPr="004A4ECC">
        <w:t xml:space="preserve"> CO</w:t>
      </w:r>
      <w:r w:rsidRPr="004A4ECC">
        <w:rPr>
          <w:vertAlign w:val="subscript"/>
        </w:rPr>
        <w:t>2</w:t>
      </w:r>
      <w:r>
        <w:t xml:space="preserve"> werden zwangsläufig auch aus dem nachgelagerten System an dessen theoretischen Lebenszyklusende wieder ausgebucht. In Summe ergeben die Auswirkungen der materialinhärenten Eigenschaften auf PERM, PENRM und das GWP somit auch über das abgeschlossene Modul D null.</w:t>
      </w:r>
      <w:r>
        <w:br/>
        <w:t>Die Potenziale des Einsatzes von Sekundärmaterial liegen somit nicht in den materialinhärenten Eigenschaften, sondern resultieren aus der substituierten Bereitstellung der entsprechenden Primärressource.</w:t>
      </w:r>
    </w:p>
    <w:p w14:paraId="01C06FF4" w14:textId="7DEBB49B" w:rsidR="0083075E" w:rsidRDefault="00EE5F8D" w:rsidP="005A1ACA">
      <w:pPr>
        <w:pStyle w:val="berschrift2"/>
        <w:rPr>
          <w:w w:val="103"/>
        </w:rPr>
      </w:pPr>
      <w:r>
        <w:rPr>
          <w:w w:val="103"/>
        </w:rPr>
        <w:lastRenderedPageBreak/>
        <w:t xml:space="preserve">B4 </w:t>
      </w:r>
      <w:r w:rsidR="0083075E">
        <w:rPr>
          <w:w w:val="103"/>
        </w:rPr>
        <w:t>Deponierung</w:t>
      </w:r>
    </w:p>
    <w:p w14:paraId="4E93849C" w14:textId="6A14AF6A" w:rsidR="0083075E" w:rsidRPr="00360EC0" w:rsidRDefault="00360EC0" w:rsidP="00360EC0">
      <w:pPr>
        <w:pStyle w:val="berschrift3"/>
        <w:rPr>
          <w:rFonts w:eastAsiaTheme="majorEastAsia"/>
          <w:w w:val="103"/>
        </w:rPr>
      </w:pPr>
      <w:r w:rsidRPr="00360EC0">
        <w:rPr>
          <w:rFonts w:eastAsiaTheme="majorEastAsia"/>
          <w:w w:val="103"/>
        </w:rPr>
        <w:t xml:space="preserve">B4.1 </w:t>
      </w:r>
      <w:r w:rsidR="0083075E" w:rsidRPr="00360EC0">
        <w:rPr>
          <w:rFonts w:eastAsiaTheme="majorEastAsia"/>
          <w:w w:val="103"/>
        </w:rPr>
        <w:t>Modellierung de</w:t>
      </w:r>
      <w:r w:rsidR="001C37AA" w:rsidRPr="00360EC0">
        <w:rPr>
          <w:rFonts w:eastAsiaTheme="majorEastAsia"/>
          <w:w w:val="103"/>
        </w:rPr>
        <w:t xml:space="preserve">s </w:t>
      </w:r>
      <w:r w:rsidR="0083075E" w:rsidRPr="00360EC0">
        <w:rPr>
          <w:rFonts w:eastAsiaTheme="majorEastAsia"/>
          <w:w w:val="103"/>
        </w:rPr>
        <w:t>Entsorgungsverfahren</w:t>
      </w:r>
      <w:r w:rsidR="001C37AA" w:rsidRPr="00360EC0">
        <w:rPr>
          <w:rFonts w:eastAsiaTheme="majorEastAsia"/>
          <w:w w:val="103"/>
        </w:rPr>
        <w:t>s</w:t>
      </w:r>
    </w:p>
    <w:p w14:paraId="0C532B85" w14:textId="77777777" w:rsidR="0083075E" w:rsidRDefault="00B36E7A" w:rsidP="00360EC0">
      <w:pPr>
        <w:pStyle w:val="Regeln"/>
        <w:ind w:left="851" w:hanging="284"/>
      </w:pPr>
      <w:r>
        <w:t>D</w:t>
      </w:r>
      <w:r w:rsidR="0083075E">
        <w:t xml:space="preserve">ie Modellierung der Deponierung </w:t>
      </w:r>
      <w:r>
        <w:t>erfolgt</w:t>
      </w:r>
      <w:r w:rsidR="0083075E" w:rsidRPr="00422ECC">
        <w:t xml:space="preserve"> gemäß </w:t>
      </w:r>
      <w:r w:rsidR="0083075E">
        <w:t xml:space="preserve">EN </w:t>
      </w:r>
      <w:r w:rsidR="0083075E" w:rsidRPr="00422ECC">
        <w:t xml:space="preserve">15804 </w:t>
      </w:r>
      <w:r>
        <w:t>folgendermaßen</w:t>
      </w:r>
      <w:r w:rsidR="0083075E" w:rsidRPr="00422ECC">
        <w:t>:</w:t>
      </w:r>
    </w:p>
    <w:p w14:paraId="6DB9456F" w14:textId="77777777" w:rsidR="003415EB" w:rsidRDefault="003415EB" w:rsidP="00360EC0">
      <w:pPr>
        <w:ind w:left="851"/>
      </w:pPr>
      <w:r>
        <w:t>C1 Demontage / Abbruch</w:t>
      </w:r>
    </w:p>
    <w:p w14:paraId="77A9B566" w14:textId="1756B467" w:rsidR="003415EB" w:rsidRDefault="003415EB" w:rsidP="00360EC0">
      <w:pPr>
        <w:ind w:left="851"/>
      </w:pPr>
      <w:r>
        <w:t>C2 Transport zur Deponie</w:t>
      </w:r>
    </w:p>
    <w:p w14:paraId="74538CF6" w14:textId="451FA168" w:rsidR="002413C2" w:rsidRDefault="002413C2" w:rsidP="00360EC0">
      <w:pPr>
        <w:ind w:left="851"/>
      </w:pPr>
      <w:r>
        <w:t>C3 entfällt</w:t>
      </w:r>
    </w:p>
    <w:p w14:paraId="44A0F07B" w14:textId="77777777" w:rsidR="003415EB" w:rsidRDefault="003415EB" w:rsidP="00360EC0">
      <w:pPr>
        <w:ind w:left="851"/>
      </w:pPr>
      <w:r>
        <w:t>C4 Deponierung</w:t>
      </w:r>
    </w:p>
    <w:p w14:paraId="6D368436" w14:textId="77777777" w:rsidR="003415EB" w:rsidRDefault="003415EB" w:rsidP="00360EC0">
      <w:pPr>
        <w:ind w:left="851"/>
      </w:pPr>
      <w:r>
        <w:t>D Vermiedene Auswirkungen durch Stromerzeugung und Wärme/ Energierückgewinnung</w:t>
      </w:r>
    </w:p>
    <w:p w14:paraId="5F7AEA2D" w14:textId="0552B022" w:rsidR="00136EFB" w:rsidRPr="00BC4A18" w:rsidRDefault="002F5E51" w:rsidP="005D05CB">
      <w:pPr>
        <w:pStyle w:val="berschrift3"/>
      </w:pPr>
      <w:r>
        <w:t xml:space="preserve">B4.2 </w:t>
      </w:r>
      <w:r w:rsidR="00136EFB" w:rsidRPr="00BC4A18">
        <w:t>Vermiedene Auswirkungen / Deponiegas</w:t>
      </w:r>
    </w:p>
    <w:p w14:paraId="63C1FA54" w14:textId="06478CAE" w:rsidR="002F5E51" w:rsidRDefault="00136EFB" w:rsidP="00C34F9E">
      <w:pPr>
        <w:pStyle w:val="Listenabsatz"/>
        <w:keepNext/>
        <w:numPr>
          <w:ilvl w:val="0"/>
          <w:numId w:val="21"/>
        </w:numPr>
        <w:spacing w:before="120" w:after="120"/>
      </w:pPr>
      <w:r>
        <w:t xml:space="preserve">Potenzielle Vorteile der Energieerzeugung aus Deponiegas, können </w:t>
      </w:r>
      <w:r w:rsidR="002F5E51">
        <w:t xml:space="preserve">gemäß EN 15804+A2, 6.3.5.5 </w:t>
      </w:r>
      <w:r>
        <w:t>im nächsten Produktsystem (Modul D) abgebildet werden:</w:t>
      </w:r>
    </w:p>
    <w:p w14:paraId="5D941129" w14:textId="6B772562" w:rsidR="00C34F9E" w:rsidRPr="00C34F9E" w:rsidRDefault="002413C2" w:rsidP="002F5E51">
      <w:pPr>
        <w:spacing w:before="120" w:after="120"/>
        <w:ind w:left="708"/>
      </w:pPr>
      <w:r>
        <w:t>„</w:t>
      </w:r>
      <w:r w:rsidR="00136EFB" w:rsidRPr="004C79C3">
        <w:t>In Modul C4 werden Belastungen (z.B</w:t>
      </w:r>
      <w:r w:rsidR="005D05CB">
        <w:t>.</w:t>
      </w:r>
      <w:r w:rsidR="00136EFB" w:rsidRPr="004C79C3">
        <w:t xml:space="preserve"> Emissionen) aus der Abfallbeseitigung entsprechend dem Verursacherprinzip als Teil des untersuchten Produktsystems angesehen. Wenn ein solcher Prozess jedoch der Energieerzeugung dient, wie z.B. Strom und Wärme aus der Abfallverbrennung oder aus Deponiegas, dann werden die potenziellen Vorteile aus dieser nutzbaren Energie im nächsten Produktsystem dem Modul D zugeordnet. Die Berechnung erfolgt unter Annahme aktueller </w:t>
      </w:r>
      <w:r w:rsidR="00136EFB" w:rsidRPr="00C34F9E">
        <w:t>durchschnittlicher Substitutionsprozesse.</w:t>
      </w:r>
      <w:r w:rsidRPr="00C34F9E">
        <w:t>“</w:t>
      </w:r>
    </w:p>
    <w:p w14:paraId="0976A32F" w14:textId="27B4C91C" w:rsidR="00136EFB" w:rsidRDefault="00136EFB" w:rsidP="002F5E51">
      <w:pPr>
        <w:spacing w:before="120" w:after="120"/>
        <w:ind w:left="708"/>
      </w:pPr>
      <w:r w:rsidRPr="00C34F9E">
        <w:t>Da die Deponierung von organischen Substanzen ein unerwünschter Prozess und die Energiegewinnung aus Deponiegas die ineffizientes</w:t>
      </w:r>
      <w:r w:rsidR="002413C2" w:rsidRPr="00C34F9E">
        <w:t>te</w:t>
      </w:r>
      <w:r w:rsidRPr="00C34F9E">
        <w:t xml:space="preserve"> Form der Energiegewinnung aus organischen Materialien ist, wird die Verrechnung eines Verwertungspotenzials in Modul D nicht </w:t>
      </w:r>
      <w:r w:rsidRPr="007F40F6">
        <w:t>empfohlen</w:t>
      </w:r>
      <w:r w:rsidRPr="00C34F9E">
        <w:t>.</w:t>
      </w:r>
      <w:r>
        <w:t xml:space="preserve"> </w:t>
      </w:r>
    </w:p>
    <w:p w14:paraId="275EE598" w14:textId="31CBD77D" w:rsidR="001C37AA" w:rsidRDefault="00BD774B" w:rsidP="00BD774B">
      <w:pPr>
        <w:pStyle w:val="berschrift3"/>
      </w:pPr>
      <w:r>
        <w:t>B4.</w:t>
      </w:r>
      <w:r w:rsidR="00C34F9E">
        <w:t>3</w:t>
      </w:r>
      <w:r>
        <w:t xml:space="preserve"> Verrechnung der </w:t>
      </w:r>
      <w:r w:rsidRPr="00BD774B">
        <w:t>materialinhärent</w:t>
      </w:r>
      <w:r w:rsidR="00C34F9E">
        <w:t>en</w:t>
      </w:r>
      <w:r w:rsidRPr="00BD774B">
        <w:t xml:space="preserve"> </w:t>
      </w:r>
      <w:r w:rsidR="001C37AA" w:rsidRPr="00BC4A18">
        <w:t>Eigenschaften</w:t>
      </w:r>
    </w:p>
    <w:p w14:paraId="245D8578" w14:textId="77777777" w:rsidR="00C34F9E" w:rsidRDefault="00C34F9E" w:rsidP="00E1238E">
      <w:pPr>
        <w:pStyle w:val="Regeln"/>
        <w:ind w:left="851" w:hanging="284"/>
      </w:pPr>
      <w:r>
        <w:t>Entsprechend der Modellierung der Entsorgungsverfahren sind die materialinhärenten Eigenschaften wie folgt zu deklarieren:</w:t>
      </w:r>
    </w:p>
    <w:p w14:paraId="32D60FCE" w14:textId="46CE1355" w:rsidR="00C34F9E" w:rsidRPr="00C34F9E" w:rsidRDefault="00C34F9E" w:rsidP="00E1238E">
      <w:pPr>
        <w:pStyle w:val="Regeln"/>
        <w:numPr>
          <w:ilvl w:val="0"/>
          <w:numId w:val="0"/>
        </w:numPr>
        <w:ind w:left="851"/>
        <w:rPr>
          <w:b/>
        </w:rPr>
      </w:pPr>
      <w:r w:rsidRPr="00C34F9E">
        <w:rPr>
          <w:b/>
        </w:rPr>
        <w:t xml:space="preserve">Tabelle </w:t>
      </w:r>
      <w:r w:rsidRPr="00C34F9E">
        <w:rPr>
          <w:b/>
        </w:rPr>
        <w:fldChar w:fldCharType="begin"/>
      </w:r>
      <w:r w:rsidRPr="00C34F9E">
        <w:rPr>
          <w:b/>
        </w:rPr>
        <w:instrText xml:space="preserve"> SEQ Tabelle \* ARABIC </w:instrText>
      </w:r>
      <w:r w:rsidRPr="00C34F9E">
        <w:rPr>
          <w:b/>
        </w:rPr>
        <w:fldChar w:fldCharType="separate"/>
      </w:r>
      <w:r w:rsidR="00223538">
        <w:rPr>
          <w:b/>
          <w:noProof/>
        </w:rPr>
        <w:t>6</w:t>
      </w:r>
      <w:r w:rsidRPr="00C34F9E">
        <w:rPr>
          <w:b/>
        </w:rPr>
        <w:fldChar w:fldCharType="end"/>
      </w:r>
      <w:r w:rsidRPr="00C34F9E">
        <w:rPr>
          <w:b/>
        </w:rPr>
        <w:t>: Verrechnung der materialinhärenten Eigenschaften</w:t>
      </w:r>
    </w:p>
    <w:tbl>
      <w:tblPr>
        <w:tblStyle w:val="Tabellenraster"/>
        <w:tblW w:w="7938" w:type="dxa"/>
        <w:tblInd w:w="845" w:type="dxa"/>
        <w:tblLayout w:type="fixed"/>
        <w:tblLook w:val="04A0" w:firstRow="1" w:lastRow="0" w:firstColumn="1" w:lastColumn="0" w:noHBand="0" w:noVBand="1"/>
      </w:tblPr>
      <w:tblGrid>
        <w:gridCol w:w="1134"/>
        <w:gridCol w:w="3402"/>
        <w:gridCol w:w="3402"/>
      </w:tblGrid>
      <w:tr w:rsidR="00C34F9E" w:rsidRPr="00EE5F8D" w14:paraId="664246E1" w14:textId="77777777" w:rsidTr="00E1238E">
        <w:tc>
          <w:tcPr>
            <w:tcW w:w="1134" w:type="dxa"/>
            <w:vAlign w:val="center"/>
          </w:tcPr>
          <w:p w14:paraId="5929290D" w14:textId="69BFFACE" w:rsidR="00C34F9E" w:rsidRPr="00C34F9E" w:rsidRDefault="00C34F9E" w:rsidP="00C34F9E">
            <w:pPr>
              <w:spacing w:before="20" w:after="20"/>
              <w:contextualSpacing/>
              <w:jc w:val="center"/>
              <w:rPr>
                <w:b/>
                <w:sz w:val="20"/>
                <w:szCs w:val="20"/>
              </w:rPr>
            </w:pPr>
            <w:r w:rsidRPr="00C34F9E">
              <w:rPr>
                <w:b/>
                <w:sz w:val="20"/>
                <w:szCs w:val="20"/>
              </w:rPr>
              <w:t>Modul</w:t>
            </w:r>
          </w:p>
        </w:tc>
        <w:tc>
          <w:tcPr>
            <w:tcW w:w="3402" w:type="dxa"/>
            <w:vAlign w:val="center"/>
          </w:tcPr>
          <w:p w14:paraId="1B18C20C" w14:textId="77777777" w:rsidR="00C34F9E" w:rsidRPr="00EE5F8D" w:rsidRDefault="00C34F9E" w:rsidP="00C34F9E">
            <w:pPr>
              <w:spacing w:before="20" w:after="20"/>
              <w:contextualSpacing/>
              <w:jc w:val="center"/>
              <w:rPr>
                <w:b/>
                <w:sz w:val="20"/>
                <w:szCs w:val="20"/>
              </w:rPr>
            </w:pPr>
            <w:r w:rsidRPr="00EE5F8D">
              <w:rPr>
                <w:b/>
                <w:sz w:val="20"/>
                <w:szCs w:val="20"/>
              </w:rPr>
              <w:t>Keine Umwandlung der stoffgebundenen Energie</w:t>
            </w:r>
          </w:p>
        </w:tc>
        <w:tc>
          <w:tcPr>
            <w:tcW w:w="3402" w:type="dxa"/>
            <w:vAlign w:val="center"/>
          </w:tcPr>
          <w:p w14:paraId="1FD91689" w14:textId="77777777" w:rsidR="00C34F9E" w:rsidRPr="00EE5F8D" w:rsidRDefault="00C34F9E" w:rsidP="00C34F9E">
            <w:pPr>
              <w:spacing w:before="20" w:after="20"/>
              <w:contextualSpacing/>
              <w:jc w:val="center"/>
              <w:rPr>
                <w:b/>
                <w:sz w:val="20"/>
                <w:szCs w:val="20"/>
              </w:rPr>
            </w:pPr>
            <w:r w:rsidRPr="00EE5F8D">
              <w:rPr>
                <w:b/>
                <w:sz w:val="20"/>
                <w:szCs w:val="20"/>
              </w:rPr>
              <w:t>100 % Umwandlung der stoffgebundenen Energie</w:t>
            </w:r>
          </w:p>
        </w:tc>
      </w:tr>
      <w:tr w:rsidR="00C34F9E" w:rsidRPr="006C71BD" w14:paraId="2726814A" w14:textId="77777777" w:rsidTr="00E1238E">
        <w:tc>
          <w:tcPr>
            <w:tcW w:w="1134" w:type="dxa"/>
          </w:tcPr>
          <w:p w14:paraId="17A62006" w14:textId="77777777" w:rsidR="00C34F9E" w:rsidRPr="00EE5F8D" w:rsidRDefault="00C34F9E" w:rsidP="001722D0">
            <w:pPr>
              <w:spacing w:before="20" w:after="20"/>
              <w:contextualSpacing/>
              <w:jc w:val="center"/>
              <w:rPr>
                <w:sz w:val="20"/>
                <w:szCs w:val="20"/>
              </w:rPr>
            </w:pPr>
            <w:r w:rsidRPr="00EE5F8D">
              <w:rPr>
                <w:sz w:val="20"/>
                <w:szCs w:val="20"/>
              </w:rPr>
              <w:t>C4</w:t>
            </w:r>
          </w:p>
        </w:tc>
        <w:tc>
          <w:tcPr>
            <w:tcW w:w="3402" w:type="dxa"/>
          </w:tcPr>
          <w:p w14:paraId="5B274A70" w14:textId="355EBCD8" w:rsidR="00C34F9E" w:rsidRPr="00EE5F8D" w:rsidRDefault="00C34F9E" w:rsidP="001722D0">
            <w:pPr>
              <w:spacing w:before="20" w:after="20"/>
              <w:contextualSpacing/>
              <w:rPr>
                <w:sz w:val="20"/>
                <w:szCs w:val="20"/>
                <w:lang w:val="en-US"/>
              </w:rPr>
            </w:pPr>
            <w:r w:rsidRPr="00EE5F8D">
              <w:rPr>
                <w:sz w:val="20"/>
                <w:szCs w:val="20"/>
                <w:lang w:val="en-US"/>
              </w:rPr>
              <w:t>PERM = 0</w:t>
            </w:r>
            <w:r w:rsidRPr="00EE5F8D">
              <w:rPr>
                <w:sz w:val="20"/>
                <w:szCs w:val="20"/>
                <w:lang w:val="en-US"/>
              </w:rPr>
              <w:br/>
              <w:t>PENRM = 0</w:t>
            </w:r>
            <w:r w:rsidRPr="00EE5F8D">
              <w:rPr>
                <w:sz w:val="20"/>
                <w:szCs w:val="20"/>
                <w:lang w:val="en-US"/>
              </w:rPr>
              <w:br/>
            </w:r>
            <w:r w:rsidR="00734125">
              <w:rPr>
                <w:sz w:val="20"/>
                <w:lang w:val="en-GB"/>
              </w:rPr>
              <w:t xml:space="preserve">+ </w:t>
            </w:r>
            <w:r w:rsidR="00734125" w:rsidRPr="002D7B8D">
              <w:rPr>
                <w:sz w:val="20"/>
                <w:lang w:val="en-GB"/>
              </w:rPr>
              <w:t xml:space="preserve">GWP biogen </w:t>
            </w:r>
            <w:r w:rsidR="00734125">
              <w:rPr>
                <w:sz w:val="20"/>
                <w:lang w:val="en-GB"/>
              </w:rPr>
              <w:t>(</w:t>
            </w:r>
            <w:r w:rsidR="00734125" w:rsidRPr="002D7B8D">
              <w:rPr>
                <w:sz w:val="20"/>
                <w:lang w:val="en-GB"/>
              </w:rPr>
              <w:t xml:space="preserve">C-Gehalt </w:t>
            </w:r>
            <w:r w:rsidR="00734125" w:rsidRPr="001D072C">
              <w:rPr>
                <w:sz w:val="20"/>
                <w:lang w:val="en-US"/>
              </w:rPr>
              <w:sym w:font="Wingdings" w:char="F0E0"/>
            </w:r>
            <w:r w:rsidR="00734125" w:rsidRPr="002D7B8D">
              <w:rPr>
                <w:sz w:val="20"/>
                <w:lang w:val="en-GB"/>
              </w:rPr>
              <w:t xml:space="preserve"> CO</w:t>
            </w:r>
            <w:r w:rsidR="00734125" w:rsidRPr="002D7B8D">
              <w:rPr>
                <w:sz w:val="20"/>
                <w:vertAlign w:val="subscript"/>
                <w:lang w:val="en-GB"/>
              </w:rPr>
              <w:t>2</w:t>
            </w:r>
            <w:r w:rsidR="00734125" w:rsidRPr="002D7B8D">
              <w:rPr>
                <w:sz w:val="20"/>
                <w:lang w:val="en-GB"/>
              </w:rPr>
              <w:t>)</w:t>
            </w:r>
          </w:p>
        </w:tc>
        <w:tc>
          <w:tcPr>
            <w:tcW w:w="3402" w:type="dxa"/>
          </w:tcPr>
          <w:p w14:paraId="0D5F96BD" w14:textId="0A9AB679" w:rsidR="00C34F9E" w:rsidRPr="00EE5F8D" w:rsidRDefault="00C34F9E" w:rsidP="001722D0">
            <w:pPr>
              <w:spacing w:before="20" w:after="20"/>
              <w:contextualSpacing/>
              <w:rPr>
                <w:sz w:val="20"/>
                <w:szCs w:val="20"/>
                <w:lang w:val="en-US"/>
              </w:rPr>
            </w:pPr>
            <w:r w:rsidRPr="00EE5F8D">
              <w:rPr>
                <w:sz w:val="20"/>
                <w:szCs w:val="20"/>
                <w:lang w:val="en-US"/>
              </w:rPr>
              <w:t xml:space="preserve">- PERM </w:t>
            </w:r>
            <w:r w:rsidRPr="00EE5F8D">
              <w:rPr>
                <w:sz w:val="20"/>
                <w:szCs w:val="20"/>
                <w:lang w:val="en-US"/>
              </w:rPr>
              <w:sym w:font="Wingdings" w:char="F0E0"/>
            </w:r>
            <w:r w:rsidRPr="00EE5F8D">
              <w:rPr>
                <w:sz w:val="20"/>
                <w:szCs w:val="20"/>
                <w:lang w:val="en-US"/>
              </w:rPr>
              <w:t xml:space="preserve"> + PERE</w:t>
            </w:r>
            <w:r w:rsidRPr="00EE5F8D">
              <w:rPr>
                <w:sz w:val="20"/>
                <w:szCs w:val="20"/>
                <w:lang w:val="en-US"/>
              </w:rPr>
              <w:br/>
              <w:t xml:space="preserve">- PENRM </w:t>
            </w:r>
            <w:r w:rsidRPr="00EE5F8D">
              <w:rPr>
                <w:sz w:val="20"/>
                <w:szCs w:val="20"/>
                <w:lang w:val="en-US"/>
              </w:rPr>
              <w:sym w:font="Wingdings" w:char="F0E0"/>
            </w:r>
            <w:r w:rsidRPr="00EE5F8D">
              <w:rPr>
                <w:sz w:val="20"/>
                <w:szCs w:val="20"/>
                <w:lang w:val="en-US"/>
              </w:rPr>
              <w:t xml:space="preserve"> + PENRE</w:t>
            </w:r>
            <w:r w:rsidRPr="00EE5F8D">
              <w:rPr>
                <w:sz w:val="20"/>
                <w:szCs w:val="20"/>
                <w:lang w:val="en-US"/>
              </w:rPr>
              <w:br/>
            </w:r>
            <w:r w:rsidR="00734125">
              <w:rPr>
                <w:sz w:val="20"/>
                <w:lang w:val="en-GB"/>
              </w:rPr>
              <w:t xml:space="preserve">+ </w:t>
            </w:r>
            <w:r w:rsidR="00E1238E" w:rsidRPr="002D7B8D">
              <w:rPr>
                <w:sz w:val="20"/>
                <w:lang w:val="en-GB"/>
              </w:rPr>
              <w:t>GWP biogen</w:t>
            </w:r>
            <w:r w:rsidR="00734125" w:rsidRPr="002D7B8D">
              <w:rPr>
                <w:sz w:val="20"/>
                <w:lang w:val="en-GB"/>
              </w:rPr>
              <w:t xml:space="preserve"> </w:t>
            </w:r>
            <w:r w:rsidR="00734125">
              <w:rPr>
                <w:sz w:val="20"/>
                <w:lang w:val="en-GB"/>
              </w:rPr>
              <w:t>(</w:t>
            </w:r>
            <w:r w:rsidR="00734125" w:rsidRPr="002D7B8D">
              <w:rPr>
                <w:sz w:val="20"/>
                <w:lang w:val="en-GB"/>
              </w:rPr>
              <w:t xml:space="preserve">C-Gehalt </w:t>
            </w:r>
            <w:r w:rsidR="00734125" w:rsidRPr="001D072C">
              <w:rPr>
                <w:sz w:val="20"/>
                <w:lang w:val="en-US"/>
              </w:rPr>
              <w:sym w:font="Wingdings" w:char="F0E0"/>
            </w:r>
            <w:r w:rsidR="00734125" w:rsidRPr="002D7B8D">
              <w:rPr>
                <w:sz w:val="20"/>
                <w:lang w:val="en-GB"/>
              </w:rPr>
              <w:t xml:space="preserve"> CO</w:t>
            </w:r>
            <w:r w:rsidR="00734125" w:rsidRPr="002D7B8D">
              <w:rPr>
                <w:sz w:val="20"/>
                <w:vertAlign w:val="subscript"/>
                <w:lang w:val="en-GB"/>
              </w:rPr>
              <w:t>2</w:t>
            </w:r>
            <w:r w:rsidR="00E1238E" w:rsidRPr="002D7B8D">
              <w:rPr>
                <w:sz w:val="20"/>
                <w:lang w:val="en-GB"/>
              </w:rPr>
              <w:t>)</w:t>
            </w:r>
          </w:p>
        </w:tc>
      </w:tr>
      <w:tr w:rsidR="00C34F9E" w:rsidRPr="00EE5F8D" w14:paraId="77F04C3F" w14:textId="77777777" w:rsidTr="00D610A6">
        <w:trPr>
          <w:trHeight w:val="259"/>
        </w:trPr>
        <w:tc>
          <w:tcPr>
            <w:tcW w:w="1134" w:type="dxa"/>
          </w:tcPr>
          <w:p w14:paraId="0B3AC94E" w14:textId="77777777" w:rsidR="00C34F9E" w:rsidRPr="00D610A6" w:rsidRDefault="00C34F9E" w:rsidP="001722D0">
            <w:pPr>
              <w:spacing w:before="20" w:after="20"/>
              <w:contextualSpacing/>
              <w:jc w:val="center"/>
              <w:rPr>
                <w:sz w:val="20"/>
                <w:szCs w:val="20"/>
              </w:rPr>
            </w:pPr>
            <w:r w:rsidRPr="00D610A6">
              <w:rPr>
                <w:sz w:val="20"/>
                <w:szCs w:val="20"/>
              </w:rPr>
              <w:t>D</w:t>
            </w:r>
          </w:p>
        </w:tc>
        <w:tc>
          <w:tcPr>
            <w:tcW w:w="3402" w:type="dxa"/>
            <w:shd w:val="clear" w:color="auto" w:fill="DBE5F1" w:themeFill="accent1" w:themeFillTint="33"/>
          </w:tcPr>
          <w:p w14:paraId="69496B82" w14:textId="77777777" w:rsidR="00C34F9E" w:rsidRPr="00D610A6" w:rsidRDefault="00C34F9E" w:rsidP="001722D0">
            <w:pPr>
              <w:spacing w:before="20" w:after="20"/>
              <w:contextualSpacing/>
              <w:rPr>
                <w:sz w:val="20"/>
                <w:szCs w:val="20"/>
                <w:lang w:val="en-US"/>
              </w:rPr>
            </w:pPr>
          </w:p>
        </w:tc>
        <w:tc>
          <w:tcPr>
            <w:tcW w:w="3402" w:type="dxa"/>
            <w:shd w:val="clear" w:color="auto" w:fill="auto"/>
          </w:tcPr>
          <w:p w14:paraId="40AE4094" w14:textId="0DF17E4A" w:rsidR="00C34F9E" w:rsidRPr="00EE5F8D" w:rsidRDefault="00C34F9E" w:rsidP="001722D0">
            <w:pPr>
              <w:spacing w:before="20" w:after="20"/>
              <w:contextualSpacing/>
              <w:rPr>
                <w:sz w:val="20"/>
                <w:szCs w:val="20"/>
                <w:lang w:val="de-AT"/>
              </w:rPr>
            </w:pPr>
            <w:r w:rsidRPr="00D610A6">
              <w:rPr>
                <w:sz w:val="20"/>
                <w:szCs w:val="20"/>
                <w:lang w:val="de-AT"/>
              </w:rPr>
              <w:t>Ggf. Vorteile und Lasten aus Deponie-gasverwertung</w:t>
            </w:r>
            <w:r w:rsidR="00D610A6">
              <w:rPr>
                <w:sz w:val="20"/>
                <w:szCs w:val="20"/>
                <w:lang w:val="de-AT"/>
              </w:rPr>
              <w:t xml:space="preserve"> (nicht empfohlen)</w:t>
            </w:r>
          </w:p>
        </w:tc>
      </w:tr>
    </w:tbl>
    <w:p w14:paraId="7416A8FA" w14:textId="77777777" w:rsidR="00C34F9E" w:rsidRPr="00C34F9E" w:rsidRDefault="00C34F9E" w:rsidP="00C34F9E"/>
    <w:p w14:paraId="7901095F" w14:textId="77777777" w:rsidR="00C34F9E" w:rsidRPr="00C34F9E" w:rsidRDefault="00C34F9E" w:rsidP="00C34F9E">
      <w:pPr>
        <w:spacing w:before="120"/>
        <w:ind w:left="710" w:firstLine="141"/>
        <w:rPr>
          <w:u w:val="single"/>
          <w:lang w:val="de-AT"/>
        </w:rPr>
      </w:pPr>
      <w:r w:rsidRPr="00C34F9E">
        <w:rPr>
          <w:u w:val="single"/>
          <w:lang w:val="de-AT"/>
        </w:rPr>
        <w:t>Erläuterung:</w:t>
      </w:r>
    </w:p>
    <w:p w14:paraId="0F4956DF" w14:textId="72379A64" w:rsidR="00B36E7A" w:rsidRPr="004C79C3" w:rsidRDefault="00B36E7A" w:rsidP="00B36E7A">
      <w:pPr>
        <w:spacing w:before="120" w:after="120"/>
        <w:ind w:left="851"/>
      </w:pPr>
      <w:r w:rsidRPr="00183322">
        <w:t xml:space="preserve">Das Treibhauspotenzial des im </w:t>
      </w:r>
      <w:r>
        <w:t>biogenen Material</w:t>
      </w:r>
      <w:r w:rsidRPr="00183322">
        <w:t xml:space="preserve"> gespeicherten CO</w:t>
      </w:r>
      <w:r w:rsidRPr="008736B2">
        <w:rPr>
          <w:vertAlign w:val="subscript"/>
        </w:rPr>
        <w:t>2</w:t>
      </w:r>
      <w:r w:rsidRPr="00183322">
        <w:t xml:space="preserve"> (GWP biogen) ist im Modul C</w:t>
      </w:r>
      <w:r>
        <w:t>4</w:t>
      </w:r>
      <w:r w:rsidRPr="00183322">
        <w:t xml:space="preserve"> </w:t>
      </w:r>
      <w:r w:rsidR="004E7B69">
        <w:t>als</w:t>
      </w:r>
      <w:r w:rsidR="00E1238E">
        <w:t xml:space="preserve"> CO</w:t>
      </w:r>
      <w:r w:rsidR="00E1238E" w:rsidRPr="00E1238E">
        <w:rPr>
          <w:vertAlign w:val="subscript"/>
        </w:rPr>
        <w:t>2</w:t>
      </w:r>
      <w:r w:rsidR="00E1238E">
        <w:t xml:space="preserve">-Emission und </w:t>
      </w:r>
      <w:r w:rsidR="00E1238E" w:rsidRPr="00E1238E">
        <w:t>somit als</w:t>
      </w:r>
      <w:r w:rsidR="004E7B69" w:rsidRPr="00E1238E">
        <w:t xml:space="preserve"> positiver Wert </w:t>
      </w:r>
      <w:r w:rsidR="00E1238E" w:rsidRPr="00E1238E">
        <w:t>in</w:t>
      </w:r>
      <w:r w:rsidRPr="00E1238E">
        <w:t xml:space="preserve"> +1 kg CO</w:t>
      </w:r>
      <w:r w:rsidRPr="00E1238E">
        <w:rPr>
          <w:vertAlign w:val="subscript"/>
        </w:rPr>
        <w:t>2</w:t>
      </w:r>
      <w:r w:rsidRPr="00E1238E">
        <w:t>-Äq/</w:t>
      </w:r>
      <w:r w:rsidRPr="00183322">
        <w:t>kg CO</w:t>
      </w:r>
      <w:r w:rsidRPr="008736B2">
        <w:rPr>
          <w:vertAlign w:val="subscript"/>
        </w:rPr>
        <w:t>2</w:t>
      </w:r>
      <w:r w:rsidRPr="00183322">
        <w:t xml:space="preserve"> </w:t>
      </w:r>
      <w:r>
        <w:t xml:space="preserve">anzuführen, vergleiche </w:t>
      </w:r>
      <w:r w:rsidR="004E7B69">
        <w:t xml:space="preserve">hierzu </w:t>
      </w:r>
      <w:r w:rsidRPr="004C79C3">
        <w:t>EN 15804+A2, 6.3.5.5</w:t>
      </w:r>
      <w:r>
        <w:t>:</w:t>
      </w:r>
      <w:r>
        <w:br/>
      </w:r>
      <w:r w:rsidRPr="004C79C3">
        <w:t>„Der Abbau des biogenen Kohlenstoffgehalts eines Produktes in einer Feststoff-Abfalldeponie, der als biogenes Treibhauspotenzial deklariert wird, muss ohne zeitliche Beschränkung berechnet werden. Jeglicher verbleibender biogener Kohlenstoff wird als Emission von biogenem CO</w:t>
      </w:r>
      <w:r w:rsidRPr="004C79C3">
        <w:rPr>
          <w:vertAlign w:val="subscript"/>
        </w:rPr>
        <w:t>2</w:t>
      </w:r>
      <w:r w:rsidRPr="004C79C3">
        <w:t xml:space="preserve"> aus der Technosphäre in die natürliche Umwelt behandelt.“</w:t>
      </w:r>
    </w:p>
    <w:p w14:paraId="554E5125" w14:textId="1CC1CC1E" w:rsidR="00E406D1" w:rsidRDefault="00136EFB" w:rsidP="00E406D1">
      <w:pPr>
        <w:spacing w:before="120" w:after="120"/>
        <w:ind w:left="851"/>
        <w:rPr>
          <w:lang w:val="de-AT"/>
        </w:rPr>
      </w:pPr>
      <w:r>
        <w:t>Wird stoffgebundener Energieinhalt</w:t>
      </w:r>
      <w:r w:rsidR="00E1238E">
        <w:t xml:space="preserve"> (PENRM, PERM)</w:t>
      </w:r>
      <w:r>
        <w:t xml:space="preserve"> in </w:t>
      </w:r>
      <w:r w:rsidR="001C37AA">
        <w:t xml:space="preserve">einen Zeitraum von 100 Jahre </w:t>
      </w:r>
      <w:r w:rsidR="00E1238E">
        <w:t>[…]</w:t>
      </w:r>
      <w:r>
        <w:t xml:space="preserve"> umgewandelt (z.B. in Wärme bei Zersetzungsprozessen)</w:t>
      </w:r>
      <w:r w:rsidR="004E7B69">
        <w:t>,</w:t>
      </w:r>
      <w:r w:rsidRPr="00136EFB">
        <w:t xml:space="preserve"> </w:t>
      </w:r>
      <w:r>
        <w:t>wird die äquivalente Menge</w:t>
      </w:r>
      <w:r w:rsidRPr="00136EFB">
        <w:t xml:space="preserve"> PERM </w:t>
      </w:r>
      <w:r>
        <w:t>bzw.</w:t>
      </w:r>
      <w:r w:rsidRPr="00136EFB">
        <w:t xml:space="preserve"> PENRM </w:t>
      </w:r>
      <w:r>
        <w:t xml:space="preserve">in PERE bzw. </w:t>
      </w:r>
      <w:r>
        <w:lastRenderedPageBreak/>
        <w:t>PENRE übergeführt.</w:t>
      </w:r>
      <w:r w:rsidR="00E1238E">
        <w:br/>
      </w:r>
      <w:r w:rsidR="00D964F2">
        <w:t xml:space="preserve">Erfolgt keine Energieumwandlung (z.B. </w:t>
      </w:r>
      <w:r w:rsidR="00E1238E">
        <w:t xml:space="preserve">könnte das für </w:t>
      </w:r>
      <w:r w:rsidR="00D964F2">
        <w:t>Holzwolle-Leichtbauplatten unter Deponiebedingungen</w:t>
      </w:r>
      <w:r w:rsidR="00E1238E">
        <w:t xml:space="preserve"> der Fall sein</w:t>
      </w:r>
      <w:r w:rsidR="00D964F2">
        <w:t xml:space="preserve">), </w:t>
      </w:r>
      <w:r w:rsidR="00E1238E">
        <w:t>sind der</w:t>
      </w:r>
      <w:r w:rsidR="00D964F2">
        <w:t xml:space="preserve"> produktbezogene PERM und PENRM </w:t>
      </w:r>
      <w:r w:rsidR="00E1238E">
        <w:t>in Modul C mit</w:t>
      </w:r>
      <w:r w:rsidR="00D964F2">
        <w:t xml:space="preserve"> 0 anzusetzen.</w:t>
      </w:r>
      <w:r w:rsidR="00E1238E">
        <w:t xml:space="preserve"> Die rohstoffgebundene Energie verbleibt im Material und stiftet keinen Nutzen mehr.</w:t>
      </w:r>
      <w:r w:rsidR="00E1238E">
        <w:br/>
      </w:r>
      <w:r w:rsidR="00D964F2">
        <w:rPr>
          <w:lang w:val="de-AT"/>
        </w:rPr>
        <w:t xml:space="preserve">Erfolgt nur eine anteilige Umwandlung ist der entsprechende Anteil des PERM/PENRM in Energie </w:t>
      </w:r>
      <w:r w:rsidR="004E7B69">
        <w:rPr>
          <w:lang w:val="de-AT"/>
        </w:rPr>
        <w:t>zu deklarieren</w:t>
      </w:r>
      <w:r w:rsidR="00D964F2">
        <w:rPr>
          <w:lang w:val="de-AT"/>
        </w:rPr>
        <w:t>.</w:t>
      </w:r>
    </w:p>
    <w:p w14:paraId="0A802904" w14:textId="77777777" w:rsidR="00E406D1" w:rsidRDefault="00E406D1" w:rsidP="00E406D1">
      <w:pPr>
        <w:pStyle w:val="berschrift2"/>
        <w:rPr>
          <w:lang w:val="de-AT"/>
        </w:rPr>
      </w:pPr>
      <w:r>
        <w:rPr>
          <w:lang w:val="de-AT"/>
        </w:rPr>
        <w:t xml:space="preserve">B5 </w:t>
      </w:r>
      <w:r>
        <w:rPr>
          <w:lang w:val="de-AT"/>
        </w:rPr>
        <w:tab/>
      </w:r>
      <w:bookmarkStart w:id="18" w:name="_Hlk101971162"/>
      <w:r>
        <w:rPr>
          <w:lang w:val="de-AT"/>
        </w:rPr>
        <w:t>Inputs von Sekundärrohstoffen bzw. Sekundärbrennstoffen in das betrachtete Produktsystem</w:t>
      </w:r>
    </w:p>
    <w:p w14:paraId="71B24050" w14:textId="77777777" w:rsidR="00E406D1" w:rsidRPr="000931E5" w:rsidRDefault="00E406D1" w:rsidP="00E406D1">
      <w:pPr>
        <w:pStyle w:val="Regeln"/>
        <w:ind w:left="851" w:hanging="284"/>
        <w:rPr>
          <w:lang w:val="de-AT"/>
        </w:rPr>
      </w:pPr>
      <w:r>
        <w:rPr>
          <w:lang w:val="de-AT"/>
        </w:rPr>
        <w:t>Die materialinhärenten Eigenschaften von Sekundärrohstoffen bzw. Sekundärbrennstoffen, die als Input in das betrachtete Produktsystem eingehen (meist in A1-A3) werden analog zu den vorangestellten Regeln behandelt.</w:t>
      </w:r>
    </w:p>
    <w:p w14:paraId="5E5A304D" w14:textId="249B1D10" w:rsidR="00E406D1" w:rsidRPr="007D55C7" w:rsidRDefault="00E406D1" w:rsidP="00E406D1">
      <w:pPr>
        <w:pStyle w:val="Regeln"/>
        <w:numPr>
          <w:ilvl w:val="0"/>
          <w:numId w:val="0"/>
        </w:numPr>
        <w:ind w:left="851"/>
        <w:rPr>
          <w:i/>
        </w:rPr>
      </w:pPr>
      <w:bookmarkStart w:id="19" w:name="_Hlk101971386"/>
      <w:r w:rsidRPr="004A36FA">
        <w:rPr>
          <w:b/>
        </w:rPr>
        <w:t xml:space="preserve">Tabelle </w:t>
      </w:r>
      <w:r w:rsidRPr="004A36FA">
        <w:rPr>
          <w:b/>
        </w:rPr>
        <w:fldChar w:fldCharType="begin"/>
      </w:r>
      <w:r w:rsidRPr="004A36FA">
        <w:rPr>
          <w:b/>
        </w:rPr>
        <w:instrText xml:space="preserve"> SEQ Tabelle \* ARABIC </w:instrText>
      </w:r>
      <w:r w:rsidRPr="004A36FA">
        <w:rPr>
          <w:b/>
        </w:rPr>
        <w:fldChar w:fldCharType="separate"/>
      </w:r>
      <w:r w:rsidR="00223538">
        <w:rPr>
          <w:b/>
          <w:noProof/>
        </w:rPr>
        <w:t>7</w:t>
      </w:r>
      <w:r w:rsidRPr="004A36FA">
        <w:rPr>
          <w:b/>
        </w:rPr>
        <w:fldChar w:fldCharType="end"/>
      </w:r>
      <w:r>
        <w:rPr>
          <w:b/>
        </w:rPr>
        <w:t>:</w:t>
      </w:r>
      <w:r w:rsidRPr="001D072C">
        <w:t xml:space="preserve"> </w:t>
      </w:r>
      <w:r>
        <w:t>Verrechnung der materialinhärenten Eigenschaften von Sekundärrohstoffen bzw. Sekundärbrennstoffen:</w:t>
      </w:r>
    </w:p>
    <w:tbl>
      <w:tblPr>
        <w:tblStyle w:val="Tabellenraster"/>
        <w:tblW w:w="4961" w:type="dxa"/>
        <w:tblInd w:w="846" w:type="dxa"/>
        <w:tblLayout w:type="fixed"/>
        <w:tblLook w:val="04A0" w:firstRow="1" w:lastRow="0" w:firstColumn="1" w:lastColumn="0" w:noHBand="0" w:noVBand="1"/>
      </w:tblPr>
      <w:tblGrid>
        <w:gridCol w:w="2126"/>
        <w:gridCol w:w="2835"/>
      </w:tblGrid>
      <w:tr w:rsidR="00E406D1" w:rsidRPr="000735CE" w14:paraId="7ED42EA1" w14:textId="77777777" w:rsidTr="00C4733F">
        <w:tc>
          <w:tcPr>
            <w:tcW w:w="2126" w:type="dxa"/>
          </w:tcPr>
          <w:p w14:paraId="44FBE1E6" w14:textId="77777777" w:rsidR="00E406D1" w:rsidRPr="000735CE" w:rsidRDefault="00E406D1" w:rsidP="00C4733F">
            <w:pPr>
              <w:spacing w:before="20" w:after="20"/>
              <w:contextualSpacing/>
              <w:rPr>
                <w:b/>
                <w:sz w:val="20"/>
              </w:rPr>
            </w:pPr>
            <w:r>
              <w:rPr>
                <w:b/>
                <w:sz w:val="20"/>
              </w:rPr>
              <w:t>Input / Output (</w:t>
            </w:r>
            <w:r w:rsidRPr="000735CE">
              <w:rPr>
                <w:b/>
                <w:sz w:val="20"/>
              </w:rPr>
              <w:t>Modul</w:t>
            </w:r>
            <w:r>
              <w:rPr>
                <w:b/>
                <w:sz w:val="20"/>
              </w:rPr>
              <w:t>)</w:t>
            </w:r>
          </w:p>
        </w:tc>
        <w:tc>
          <w:tcPr>
            <w:tcW w:w="2835" w:type="dxa"/>
            <w:vAlign w:val="center"/>
          </w:tcPr>
          <w:p w14:paraId="0E160BED" w14:textId="77777777" w:rsidR="00E406D1" w:rsidRPr="000735CE" w:rsidRDefault="00E406D1" w:rsidP="00C4733F">
            <w:pPr>
              <w:spacing w:before="20" w:after="20"/>
              <w:contextualSpacing/>
              <w:jc w:val="center"/>
              <w:rPr>
                <w:b/>
                <w:sz w:val="20"/>
              </w:rPr>
            </w:pPr>
            <w:r w:rsidRPr="000735CE">
              <w:rPr>
                <w:b/>
                <w:sz w:val="20"/>
              </w:rPr>
              <w:t>Indikator</w:t>
            </w:r>
          </w:p>
        </w:tc>
      </w:tr>
      <w:tr w:rsidR="00E406D1" w:rsidRPr="00851AF3" w14:paraId="32D0D499" w14:textId="77777777" w:rsidTr="00C4733F">
        <w:tc>
          <w:tcPr>
            <w:tcW w:w="2126" w:type="dxa"/>
          </w:tcPr>
          <w:p w14:paraId="2D0DC4C9" w14:textId="77777777" w:rsidR="00E406D1" w:rsidRPr="001D072C" w:rsidRDefault="00E406D1" w:rsidP="00C4733F">
            <w:pPr>
              <w:spacing w:before="20" w:after="20"/>
              <w:contextualSpacing/>
              <w:rPr>
                <w:sz w:val="20"/>
              </w:rPr>
            </w:pPr>
            <w:r>
              <w:rPr>
                <w:sz w:val="20"/>
              </w:rPr>
              <w:t>Output aus dem vorhergehendem Produktsystem (C1, C2 oder C3)</w:t>
            </w:r>
          </w:p>
        </w:tc>
        <w:tc>
          <w:tcPr>
            <w:tcW w:w="2835" w:type="dxa"/>
          </w:tcPr>
          <w:p w14:paraId="044314E3" w14:textId="77777777" w:rsidR="00E406D1" w:rsidRDefault="00E406D1" w:rsidP="00C4733F">
            <w:pPr>
              <w:spacing w:before="20" w:after="20"/>
              <w:contextualSpacing/>
              <w:rPr>
                <w:sz w:val="20"/>
                <w:lang w:val="de-AT"/>
              </w:rPr>
            </w:pPr>
            <w:r w:rsidRPr="00851AF3">
              <w:rPr>
                <w:sz w:val="20"/>
                <w:lang w:val="de-AT"/>
              </w:rPr>
              <w:t>- PERM</w:t>
            </w:r>
            <w:r w:rsidRPr="00851AF3">
              <w:rPr>
                <w:sz w:val="20"/>
                <w:lang w:val="de-AT"/>
              </w:rPr>
              <w:br/>
              <w:t>- PENRM</w:t>
            </w:r>
          </w:p>
          <w:p w14:paraId="1C84EEFB" w14:textId="54E32AE2" w:rsidR="00E406D1" w:rsidRPr="00851AF3" w:rsidRDefault="00E406D1" w:rsidP="00C4733F">
            <w:pPr>
              <w:spacing w:before="120" w:after="20"/>
              <w:rPr>
                <w:sz w:val="20"/>
                <w:lang w:val="de-AT"/>
              </w:rPr>
            </w:pPr>
            <w:r w:rsidRPr="00851AF3">
              <w:rPr>
                <w:sz w:val="20"/>
                <w:lang w:val="de-AT"/>
              </w:rPr>
              <w:t>+ GWP biogen</w:t>
            </w:r>
            <w:r>
              <w:rPr>
                <w:sz w:val="20"/>
                <w:lang w:val="de-AT"/>
              </w:rPr>
              <w:t xml:space="preserve"> (- </w:t>
            </w:r>
            <w:r w:rsidRPr="00851AF3">
              <w:rPr>
                <w:sz w:val="20"/>
                <w:lang w:val="de-AT"/>
              </w:rPr>
              <w:t>C-Gehalt)</w:t>
            </w:r>
          </w:p>
        </w:tc>
      </w:tr>
      <w:tr w:rsidR="00E406D1" w:rsidRPr="001D072C" w14:paraId="6F30F84E" w14:textId="77777777" w:rsidTr="00C4733F">
        <w:tc>
          <w:tcPr>
            <w:tcW w:w="2126" w:type="dxa"/>
            <w:shd w:val="clear" w:color="auto" w:fill="DAEEF3" w:themeFill="accent5" w:themeFillTint="33"/>
          </w:tcPr>
          <w:p w14:paraId="1078BB04" w14:textId="77777777" w:rsidR="00E406D1" w:rsidRPr="001D072C" w:rsidRDefault="00E406D1" w:rsidP="00C4733F">
            <w:pPr>
              <w:spacing w:before="20" w:after="20"/>
              <w:contextualSpacing/>
              <w:rPr>
                <w:sz w:val="20"/>
              </w:rPr>
            </w:pPr>
            <w:r>
              <w:rPr>
                <w:sz w:val="20"/>
              </w:rPr>
              <w:t>Input ins betrachtete Produktsystem (A1-A3)</w:t>
            </w:r>
          </w:p>
        </w:tc>
        <w:tc>
          <w:tcPr>
            <w:tcW w:w="2835" w:type="dxa"/>
            <w:shd w:val="clear" w:color="auto" w:fill="DAEEF3" w:themeFill="accent5" w:themeFillTint="33"/>
          </w:tcPr>
          <w:p w14:paraId="02AB3C3C" w14:textId="77777777" w:rsidR="00E406D1" w:rsidRDefault="00E406D1" w:rsidP="00C4733F">
            <w:pPr>
              <w:spacing w:before="60" w:after="20"/>
              <w:contextualSpacing/>
              <w:rPr>
                <w:sz w:val="20"/>
                <w:lang w:val="de-AT"/>
              </w:rPr>
            </w:pPr>
            <w:r>
              <w:rPr>
                <w:sz w:val="20"/>
                <w:lang w:val="de-AT"/>
              </w:rPr>
              <w:t xml:space="preserve">+ </w:t>
            </w:r>
            <w:r w:rsidRPr="00851AF3">
              <w:rPr>
                <w:sz w:val="20"/>
                <w:lang w:val="de-AT"/>
              </w:rPr>
              <w:t>PERM</w:t>
            </w:r>
            <w:r w:rsidRPr="00851AF3">
              <w:rPr>
                <w:sz w:val="20"/>
                <w:lang w:val="de-AT"/>
              </w:rPr>
              <w:br/>
            </w:r>
            <w:r>
              <w:rPr>
                <w:sz w:val="20"/>
                <w:lang w:val="de-AT"/>
              </w:rPr>
              <w:t>+</w:t>
            </w:r>
            <w:r w:rsidRPr="00851AF3">
              <w:rPr>
                <w:sz w:val="20"/>
                <w:lang w:val="de-AT"/>
              </w:rPr>
              <w:t xml:space="preserve"> PENRM</w:t>
            </w:r>
          </w:p>
          <w:p w14:paraId="7E326A9D" w14:textId="2C128B22" w:rsidR="00E406D1" w:rsidRPr="00081517" w:rsidRDefault="00E406D1" w:rsidP="00C4733F">
            <w:pPr>
              <w:spacing w:before="120" w:after="20"/>
              <w:rPr>
                <w:sz w:val="20"/>
                <w:lang w:val="de-AT"/>
              </w:rPr>
            </w:pPr>
            <w:r>
              <w:rPr>
                <w:sz w:val="20"/>
                <w:lang w:val="de-AT"/>
              </w:rPr>
              <w:t>-</w:t>
            </w:r>
            <w:r w:rsidRPr="00851AF3">
              <w:rPr>
                <w:sz w:val="20"/>
                <w:lang w:val="de-AT"/>
              </w:rPr>
              <w:t xml:space="preserve"> GWP biogen</w:t>
            </w:r>
            <w:r>
              <w:rPr>
                <w:sz w:val="20"/>
                <w:lang w:val="de-AT"/>
              </w:rPr>
              <w:t xml:space="preserve"> (+ </w:t>
            </w:r>
            <w:r w:rsidRPr="00851AF3">
              <w:rPr>
                <w:sz w:val="20"/>
                <w:lang w:val="de-AT"/>
              </w:rPr>
              <w:t>C-Gehalt)</w:t>
            </w:r>
          </w:p>
        </w:tc>
      </w:tr>
    </w:tbl>
    <w:bookmarkEnd w:id="18"/>
    <w:bookmarkEnd w:id="19"/>
    <w:p w14:paraId="44B2AF10" w14:textId="77777777" w:rsidR="00E406D1" w:rsidRPr="000735CE" w:rsidRDefault="00E406D1" w:rsidP="00E406D1">
      <w:pPr>
        <w:spacing w:before="120"/>
        <w:ind w:left="710" w:firstLine="141"/>
        <w:rPr>
          <w:u w:val="single"/>
          <w:lang w:val="de-AT"/>
        </w:rPr>
      </w:pPr>
      <w:r w:rsidRPr="000735CE">
        <w:rPr>
          <w:u w:val="single"/>
          <w:lang w:val="de-AT"/>
        </w:rPr>
        <w:t>Hinweis:</w:t>
      </w:r>
    </w:p>
    <w:p w14:paraId="15F2D3DA" w14:textId="77777777" w:rsidR="00E406D1" w:rsidRDefault="00E406D1" w:rsidP="00E406D1">
      <w:pPr>
        <w:ind w:left="851"/>
      </w:pPr>
      <w:r>
        <w:t xml:space="preserve">Die Indikatoren </w:t>
      </w:r>
      <w:r w:rsidRPr="000735CE">
        <w:t>zur Beschreibung des Ressourceneinsatzes</w:t>
      </w:r>
    </w:p>
    <w:p w14:paraId="1FB62046" w14:textId="77777777" w:rsidR="00E406D1" w:rsidRDefault="00E406D1" w:rsidP="00E406D1">
      <w:pPr>
        <w:pStyle w:val="Listenabsatz"/>
        <w:numPr>
          <w:ilvl w:val="0"/>
          <w:numId w:val="21"/>
        </w:numPr>
        <w:ind w:left="1571"/>
      </w:pPr>
      <w:r>
        <w:t>Erneuerbare Sekundärbrennstoffe (RSF) (MJ),</w:t>
      </w:r>
    </w:p>
    <w:p w14:paraId="2900DB3F" w14:textId="77777777" w:rsidR="00E406D1" w:rsidRDefault="00E406D1" w:rsidP="00E406D1">
      <w:pPr>
        <w:pStyle w:val="Listenabsatz"/>
        <w:numPr>
          <w:ilvl w:val="0"/>
          <w:numId w:val="21"/>
        </w:numPr>
        <w:ind w:left="1571"/>
      </w:pPr>
      <w:r>
        <w:t>Nicht erneuerbare Sekundärbrennstoffe (NRSF) (MJ)</w:t>
      </w:r>
    </w:p>
    <w:p w14:paraId="66B00A18" w14:textId="0E7F6FC8" w:rsidR="00E406D1" w:rsidRPr="00E406D1" w:rsidRDefault="00E406D1" w:rsidP="00734125">
      <w:pPr>
        <w:ind w:left="851"/>
      </w:pPr>
      <w:r>
        <w:t>sind als Zusatzinformationen zum PERM bzw. PENRM zu betrachten.</w:t>
      </w:r>
      <w:r>
        <w:br/>
        <w:t>Sie geben Auskunft darüber, welcher Anteil des PERM bzw. PENRM aus Sekundärstoffen stammt.</w:t>
      </w:r>
      <w:r>
        <w:br/>
        <w:t>Die Differenz (PERM – RSF bzw. PENRM – NRSF) ergibt den Anteil an eingesetzten Primärstoffen.</w:t>
      </w:r>
    </w:p>
    <w:sectPr w:rsidR="00E406D1" w:rsidRPr="00E406D1" w:rsidSect="004F0068">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86FCB" w14:textId="77777777" w:rsidR="0029780B" w:rsidRDefault="0029780B" w:rsidP="00265F29">
      <w:pPr>
        <w:spacing w:line="240" w:lineRule="auto"/>
      </w:pPr>
      <w:r>
        <w:separator/>
      </w:r>
    </w:p>
  </w:endnote>
  <w:endnote w:type="continuationSeparator" w:id="0">
    <w:p w14:paraId="12E7F201" w14:textId="77777777" w:rsidR="0029780B" w:rsidRDefault="0029780B" w:rsidP="00265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FD750" w14:textId="0B1E6D41" w:rsidR="00AE20FC" w:rsidRPr="00627644" w:rsidRDefault="00627644" w:rsidP="00627644">
    <w:pPr>
      <w:pStyle w:val="Fuzeile"/>
    </w:pPr>
    <w:r w:rsidRPr="00AA1390">
      <w:rPr>
        <w:rStyle w:val="Seitenzahl"/>
        <w:color w:val="808080"/>
        <w:sz w:val="18"/>
        <w:szCs w:val="18"/>
      </w:rPr>
      <w:t>(</w:t>
    </w:r>
    <w:r w:rsidR="00D46CC4">
      <w:rPr>
        <w:rStyle w:val="Seitenzahl"/>
        <w:color w:val="808080"/>
        <w:sz w:val="18"/>
        <w:szCs w:val="18"/>
      </w:rPr>
      <w:t xml:space="preserve">Ökobaudat Grundsätze </w:t>
    </w:r>
    <w:r w:rsidRPr="00AA1390">
      <w:rPr>
        <w:rStyle w:val="Seitenzahl"/>
        <w:color w:val="808080"/>
        <w:sz w:val="18"/>
        <w:szCs w:val="18"/>
      </w:rPr>
      <w:t xml:space="preserve">Stand: </w:t>
    </w:r>
    <w:r w:rsidRPr="0094674C">
      <w:rPr>
        <w:rStyle w:val="Seitenzahl"/>
        <w:color w:val="808080"/>
        <w:sz w:val="18"/>
        <w:szCs w:val="18"/>
      </w:rPr>
      <w:t>20</w:t>
    </w:r>
    <w:r>
      <w:rPr>
        <w:rStyle w:val="Seitenzahl"/>
        <w:color w:val="808080"/>
        <w:sz w:val="18"/>
        <w:szCs w:val="18"/>
      </w:rPr>
      <w:t>21</w:t>
    </w:r>
    <w:r w:rsidRPr="0094674C">
      <w:rPr>
        <w:rStyle w:val="Seitenzahl"/>
        <w:color w:val="808080"/>
        <w:sz w:val="18"/>
        <w:szCs w:val="18"/>
      </w:rPr>
      <w:t>-</w:t>
    </w:r>
    <w:r>
      <w:rPr>
        <w:rStyle w:val="Seitenzahl"/>
        <w:color w:val="808080"/>
        <w:sz w:val="18"/>
        <w:szCs w:val="18"/>
      </w:rPr>
      <w:t>12</w:t>
    </w:r>
    <w:r w:rsidRPr="0094674C">
      <w:rPr>
        <w:rStyle w:val="Seitenzahl"/>
        <w:color w:val="808080"/>
        <w:sz w:val="18"/>
        <w:szCs w:val="18"/>
      </w:rPr>
      <w:t>-</w:t>
    </w:r>
    <w:r>
      <w:rPr>
        <w:rStyle w:val="Seitenzahl"/>
        <w:color w:val="808080"/>
        <w:sz w:val="18"/>
        <w:szCs w:val="18"/>
      </w:rPr>
      <w:t>02, veröffentlicht: 2023-11-06</w:t>
    </w:r>
    <w:r w:rsidRPr="00AA1390">
      <w:rPr>
        <w:rStyle w:val="Seitenzahl"/>
        <w:color w:val="808080"/>
        <w:sz w:val="18"/>
        <w:szCs w:val="18"/>
      </w:rPr>
      <w:t>)</w:t>
    </w:r>
    <w:r w:rsidRPr="00AA1390">
      <w:rPr>
        <w:rStyle w:val="Seitenzahl"/>
        <w:sz w:val="18"/>
        <w:szCs w:val="18"/>
      </w:rPr>
      <w:tab/>
    </w:r>
    <w:r w:rsidRPr="00AA1390">
      <w:rPr>
        <w:rStyle w:val="Seitenzahl"/>
        <w:sz w:val="18"/>
        <w:szCs w:val="18"/>
      </w:rPr>
      <w:tab/>
    </w:r>
    <w:r w:rsidRPr="00AA1390">
      <w:rPr>
        <w:rStyle w:val="Seitenzahl"/>
        <w:sz w:val="18"/>
        <w:szCs w:val="18"/>
      </w:rPr>
      <w:fldChar w:fldCharType="begin"/>
    </w:r>
    <w:r w:rsidRPr="00AA1390">
      <w:rPr>
        <w:rStyle w:val="Seitenzahl"/>
        <w:sz w:val="18"/>
        <w:szCs w:val="18"/>
      </w:rPr>
      <w:instrText xml:space="preserve"> PAGE </w:instrText>
    </w:r>
    <w:r w:rsidRPr="00AA1390">
      <w:rPr>
        <w:rStyle w:val="Seitenzahl"/>
        <w:sz w:val="18"/>
        <w:szCs w:val="18"/>
      </w:rPr>
      <w:fldChar w:fldCharType="separate"/>
    </w:r>
    <w:r>
      <w:rPr>
        <w:rStyle w:val="Seitenzahl"/>
        <w:sz w:val="18"/>
        <w:szCs w:val="18"/>
      </w:rPr>
      <w:t>2</w:t>
    </w:r>
    <w:r w:rsidRPr="00AA1390">
      <w:rPr>
        <w:rStyle w:val="Seitenzahl"/>
        <w:sz w:val="18"/>
        <w:szCs w:val="18"/>
      </w:rPr>
      <w:fldChar w:fldCharType="end"/>
    </w:r>
    <w:r w:rsidRPr="00AA1390">
      <w:rPr>
        <w:rStyle w:val="Seitenzahl"/>
        <w:sz w:val="18"/>
        <w:szCs w:val="18"/>
      </w:rPr>
      <w:t>/</w:t>
    </w:r>
    <w:r w:rsidRPr="00AA1390">
      <w:rPr>
        <w:rStyle w:val="Seitenzahl"/>
        <w:sz w:val="18"/>
        <w:szCs w:val="18"/>
      </w:rPr>
      <w:fldChar w:fldCharType="begin"/>
    </w:r>
    <w:r w:rsidRPr="00AA1390">
      <w:rPr>
        <w:rStyle w:val="Seitenzahl"/>
        <w:sz w:val="18"/>
        <w:szCs w:val="18"/>
      </w:rPr>
      <w:instrText xml:space="preserve"> NUMPAGES </w:instrText>
    </w:r>
    <w:r w:rsidRPr="00AA1390">
      <w:rPr>
        <w:rStyle w:val="Seitenzahl"/>
        <w:sz w:val="18"/>
        <w:szCs w:val="18"/>
      </w:rPr>
      <w:fldChar w:fldCharType="separate"/>
    </w:r>
    <w:r>
      <w:rPr>
        <w:rStyle w:val="Seitenzahl"/>
        <w:sz w:val="18"/>
        <w:szCs w:val="18"/>
      </w:rPr>
      <w:t>26</w:t>
    </w:r>
    <w:r w:rsidRPr="00AA1390">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BA634" w14:textId="77777777" w:rsidR="0029780B" w:rsidRDefault="0029780B" w:rsidP="00265F29">
      <w:pPr>
        <w:spacing w:line="240" w:lineRule="auto"/>
      </w:pPr>
      <w:r>
        <w:separator/>
      </w:r>
    </w:p>
  </w:footnote>
  <w:footnote w:type="continuationSeparator" w:id="0">
    <w:p w14:paraId="122C887B" w14:textId="77777777" w:rsidR="0029780B" w:rsidRDefault="0029780B" w:rsidP="00265F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6" w:type="dxa"/>
      <w:tblLook w:val="04A0" w:firstRow="1" w:lastRow="0" w:firstColumn="1" w:lastColumn="0" w:noHBand="0" w:noVBand="1"/>
    </w:tblPr>
    <w:tblGrid>
      <w:gridCol w:w="5070"/>
      <w:gridCol w:w="4606"/>
    </w:tblGrid>
    <w:tr w:rsidR="00D46CC4" w:rsidRPr="007869DF" w14:paraId="42CB8850" w14:textId="77777777" w:rsidTr="00D46CC4">
      <w:trPr>
        <w:trHeight w:val="572"/>
      </w:trPr>
      <w:tc>
        <w:tcPr>
          <w:tcW w:w="5070" w:type="dxa"/>
          <w:shd w:val="clear" w:color="auto" w:fill="auto"/>
        </w:tcPr>
        <w:p w14:paraId="651FEB48" w14:textId="2ADF106E" w:rsidR="00D46CC4" w:rsidRPr="00D46CC4" w:rsidRDefault="00D46CC4" w:rsidP="00D46CC4">
          <w:pPr>
            <w:pStyle w:val="Kopfzeile"/>
            <w:rPr>
              <w:rFonts w:asciiTheme="minorHAnsi" w:hAnsiTheme="minorHAnsi" w:cstheme="minorHAnsi"/>
            </w:rPr>
          </w:pPr>
          <w:r>
            <w:rPr>
              <w:rFonts w:asciiTheme="minorHAnsi" w:hAnsiTheme="minorHAnsi" w:cstheme="minorHAnsi"/>
            </w:rPr>
            <w:t>BAU EPD M-</w:t>
          </w:r>
          <w:r w:rsidRPr="0085060C">
            <w:rPr>
              <w:rFonts w:asciiTheme="minorHAnsi" w:hAnsiTheme="minorHAnsi" w:cstheme="minorHAnsi"/>
            </w:rPr>
            <w:t xml:space="preserve">DOKUMENT </w:t>
          </w:r>
          <w:r>
            <w:rPr>
              <w:rFonts w:asciiTheme="minorHAnsi" w:hAnsiTheme="minorHAnsi" w:cstheme="minorHAnsi"/>
            </w:rPr>
            <w:t>3</w:t>
          </w:r>
          <w:r w:rsidR="006C71BD">
            <w:rPr>
              <w:rFonts w:asciiTheme="minorHAnsi" w:hAnsiTheme="minorHAnsi" w:cstheme="minorHAnsi"/>
            </w:rPr>
            <w:t>7</w:t>
          </w:r>
          <w:r>
            <w:rPr>
              <w:rFonts w:asciiTheme="minorHAnsi" w:hAnsiTheme="minorHAnsi" w:cstheme="minorHAnsi"/>
            </w:rPr>
            <w:br/>
          </w:r>
          <w:r>
            <w:rPr>
              <w:rStyle w:val="Seitenzahl"/>
              <w:color w:val="808080"/>
              <w:sz w:val="18"/>
              <w:szCs w:val="18"/>
            </w:rPr>
            <w:t xml:space="preserve">Anhang B, </w:t>
          </w:r>
          <w:r w:rsidRPr="00AA1390">
            <w:rPr>
              <w:rStyle w:val="Seitenzahl"/>
              <w:color w:val="808080"/>
              <w:sz w:val="18"/>
              <w:szCs w:val="18"/>
            </w:rPr>
            <w:t>Grundsätze zur Aufnahme von Ökobilanzdaten in die ÖKOBAU</w:t>
          </w:r>
          <w:r>
            <w:rPr>
              <w:rStyle w:val="Seitenzahl"/>
              <w:color w:val="808080"/>
              <w:sz w:val="18"/>
              <w:szCs w:val="18"/>
            </w:rPr>
            <w:t>D</w:t>
          </w:r>
          <w:r w:rsidRPr="00AA1390">
            <w:rPr>
              <w:rStyle w:val="Seitenzahl"/>
              <w:color w:val="808080"/>
              <w:sz w:val="18"/>
              <w:szCs w:val="18"/>
            </w:rPr>
            <w:t>AT</w:t>
          </w:r>
          <w:r w:rsidR="00A00E58">
            <w:rPr>
              <w:rStyle w:val="Seitenzahl"/>
              <w:color w:val="808080"/>
              <w:sz w:val="18"/>
              <w:szCs w:val="18"/>
            </w:rPr>
            <w:t>-Verrechnung von Entsorgungsverfahren</w:t>
          </w:r>
        </w:p>
      </w:tc>
      <w:tc>
        <w:tcPr>
          <w:tcW w:w="4606" w:type="dxa"/>
          <w:shd w:val="clear" w:color="auto" w:fill="auto"/>
        </w:tcPr>
        <w:p w14:paraId="1492120F" w14:textId="13A3BD7F" w:rsidR="00D46CC4" w:rsidRPr="00E6143F" w:rsidRDefault="00D46CC4" w:rsidP="00D46CC4">
          <w:pPr>
            <w:pStyle w:val="Kopfzeile"/>
            <w:rPr>
              <w:lang w:val="de-AT"/>
            </w:rPr>
          </w:pPr>
          <w:r w:rsidRPr="00E6143F">
            <w:rPr>
              <w:noProof/>
              <w:lang w:val="en-US" w:eastAsia="en-US"/>
            </w:rPr>
            <w:drawing>
              <wp:anchor distT="0" distB="0" distL="114300" distR="114300" simplePos="0" relativeHeight="251659264" behindDoc="0" locked="0" layoutInCell="1" allowOverlap="1" wp14:anchorId="39F9BEBF" wp14:editId="522EC87E">
                <wp:simplePos x="0" y="0"/>
                <wp:positionH relativeFrom="margin">
                  <wp:posOffset>666750</wp:posOffset>
                </wp:positionH>
                <wp:positionV relativeFrom="paragraph">
                  <wp:posOffset>1905</wp:posOffset>
                </wp:positionV>
                <wp:extent cx="2162175" cy="676275"/>
                <wp:effectExtent l="0" t="0" r="9525" b="9525"/>
                <wp:wrapNone/>
                <wp:docPr id="5" name="Bild 4" descr="Ein Bild, das Schrift, Grafiken,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descr="Ein Bild, das Schrift, Grafiken, Grafikdesign, Logo enthält.&#10;&#10;Automatisch generierte Beschreibung"/>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D46CC4" w:rsidRPr="007869DF" w14:paraId="43588746" w14:textId="77777777" w:rsidTr="00034034">
      <w:tc>
        <w:tcPr>
          <w:tcW w:w="5070" w:type="dxa"/>
          <w:shd w:val="clear" w:color="auto" w:fill="auto"/>
        </w:tcPr>
        <w:p w14:paraId="15394E1D" w14:textId="75A2AEA0" w:rsidR="00D46CC4" w:rsidRDefault="00D46CC4" w:rsidP="00D46CC4">
          <w:pPr>
            <w:pStyle w:val="Kopfzeile"/>
            <w:rPr>
              <w:rFonts w:asciiTheme="minorHAnsi" w:hAnsiTheme="minorHAnsi" w:cstheme="minorHAnsi"/>
              <w:lang w:val="de-AT"/>
            </w:rPr>
          </w:pPr>
          <w:r w:rsidRPr="0085060C">
            <w:rPr>
              <w:rFonts w:asciiTheme="minorHAnsi" w:hAnsiTheme="minorHAnsi" w:cstheme="minorHAnsi"/>
              <w:lang w:val="de-AT"/>
            </w:rPr>
            <w:t xml:space="preserve">Stand: </w:t>
          </w:r>
          <w:r>
            <w:rPr>
              <w:rFonts w:asciiTheme="minorHAnsi" w:hAnsiTheme="minorHAnsi" w:cstheme="minorHAnsi"/>
              <w:lang w:val="de-AT"/>
            </w:rPr>
            <w:t>06.11.2024</w:t>
          </w:r>
        </w:p>
        <w:p w14:paraId="52767B56" w14:textId="77777777" w:rsidR="00D46CC4" w:rsidRPr="0085060C" w:rsidRDefault="00D46CC4" w:rsidP="00D46CC4">
          <w:pPr>
            <w:pStyle w:val="Kopfzeile"/>
            <w:rPr>
              <w:rFonts w:asciiTheme="minorHAnsi" w:hAnsiTheme="minorHAnsi" w:cstheme="minorHAnsi"/>
              <w:lang w:val="de-AT"/>
            </w:rPr>
          </w:pPr>
          <w:r>
            <w:rPr>
              <w:rFonts w:asciiTheme="minorHAnsi" w:hAnsiTheme="minorHAnsi" w:cstheme="minorHAnsi"/>
              <w:lang w:val="de-AT"/>
            </w:rPr>
            <w:t>Version 1.0</w:t>
          </w:r>
        </w:p>
      </w:tc>
      <w:tc>
        <w:tcPr>
          <w:tcW w:w="4606" w:type="dxa"/>
          <w:shd w:val="clear" w:color="auto" w:fill="auto"/>
        </w:tcPr>
        <w:p w14:paraId="2666730D" w14:textId="549FDB0F" w:rsidR="00D46CC4" w:rsidRPr="00E6143F" w:rsidRDefault="00D46CC4" w:rsidP="00D46CC4">
          <w:pPr>
            <w:pStyle w:val="Kopfzeile"/>
            <w:rPr>
              <w:lang w:val="de-AT"/>
            </w:rPr>
          </w:pPr>
        </w:p>
      </w:tc>
    </w:tr>
  </w:tbl>
  <w:p w14:paraId="79D45577" w14:textId="3DC76D81" w:rsidR="00D46CC4" w:rsidRDefault="00D46CC4">
    <w:pPr>
      <w:pStyle w:val="Kopfzeile"/>
      <w:rPr>
        <w:rStyle w:val="Seitenzahl"/>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613"/>
    <w:multiLevelType w:val="hybridMultilevel"/>
    <w:tmpl w:val="9654B8E8"/>
    <w:lvl w:ilvl="0" w:tplc="4D981804">
      <w:start w:val="19"/>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6D4C98"/>
    <w:multiLevelType w:val="hybridMultilevel"/>
    <w:tmpl w:val="35A09DE2"/>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2" w15:restartNumberingAfterBreak="0">
    <w:nsid w:val="0E882F3D"/>
    <w:multiLevelType w:val="hybridMultilevel"/>
    <w:tmpl w:val="D25EECB2"/>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3" w15:restartNumberingAfterBreak="0">
    <w:nsid w:val="161305FB"/>
    <w:multiLevelType w:val="multilevel"/>
    <w:tmpl w:val="99445A1E"/>
    <w:lvl w:ilvl="0">
      <w:start w:val="1"/>
      <w:numFmt w:val="decimal"/>
      <w:lvlText w:val="%1"/>
      <w:lvlJc w:val="left"/>
      <w:pPr>
        <w:ind w:left="574"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B269D6"/>
    <w:multiLevelType w:val="hybridMultilevel"/>
    <w:tmpl w:val="0D12B1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8A06136"/>
    <w:multiLevelType w:val="hybridMultilevel"/>
    <w:tmpl w:val="ACD86C34"/>
    <w:lvl w:ilvl="0" w:tplc="48BCD338">
      <w:start w:val="1"/>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2C5298"/>
    <w:multiLevelType w:val="hybridMultilevel"/>
    <w:tmpl w:val="C9B4A348"/>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7" w15:restartNumberingAfterBreak="0">
    <w:nsid w:val="2104441B"/>
    <w:multiLevelType w:val="hybridMultilevel"/>
    <w:tmpl w:val="DC6A49D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1806066"/>
    <w:multiLevelType w:val="hybridMultilevel"/>
    <w:tmpl w:val="AE466A0C"/>
    <w:lvl w:ilvl="0" w:tplc="0F6E59AC">
      <w:start w:val="8"/>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3AD4CDB"/>
    <w:multiLevelType w:val="hybridMultilevel"/>
    <w:tmpl w:val="3F5619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FE31E0"/>
    <w:multiLevelType w:val="hybridMultilevel"/>
    <w:tmpl w:val="B4CA41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F0C29FB"/>
    <w:multiLevelType w:val="hybridMultilevel"/>
    <w:tmpl w:val="285EF0A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F7E2C1B"/>
    <w:multiLevelType w:val="hybridMultilevel"/>
    <w:tmpl w:val="10BA1A3E"/>
    <w:lvl w:ilvl="0" w:tplc="1CAEAA92">
      <w:start w:val="1"/>
      <w:numFmt w:val="bullet"/>
      <w:pStyle w:val="Regeln"/>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3" w15:restartNumberingAfterBreak="0">
    <w:nsid w:val="31C91B15"/>
    <w:multiLevelType w:val="hybridMultilevel"/>
    <w:tmpl w:val="3762278A"/>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14" w15:restartNumberingAfterBreak="0">
    <w:nsid w:val="3FE74868"/>
    <w:multiLevelType w:val="hybridMultilevel"/>
    <w:tmpl w:val="D006FDA4"/>
    <w:lvl w:ilvl="0" w:tplc="B3043F54">
      <w:numFmt w:val="bullet"/>
      <w:lvlText w:val=""/>
      <w:lvlJc w:val="left"/>
      <w:pPr>
        <w:ind w:left="936" w:hanging="360"/>
      </w:pPr>
      <w:rPr>
        <w:rFonts w:ascii="Wingdings" w:eastAsia="Times New Roman" w:hAnsi="Wingdings" w:cs="Times New Roman" w:hint="default"/>
      </w:rPr>
    </w:lvl>
    <w:lvl w:ilvl="1" w:tplc="0C070003" w:tentative="1">
      <w:start w:val="1"/>
      <w:numFmt w:val="bullet"/>
      <w:lvlText w:val="o"/>
      <w:lvlJc w:val="left"/>
      <w:pPr>
        <w:ind w:left="1656" w:hanging="360"/>
      </w:pPr>
      <w:rPr>
        <w:rFonts w:ascii="Courier New" w:hAnsi="Courier New" w:cs="Courier New" w:hint="default"/>
      </w:rPr>
    </w:lvl>
    <w:lvl w:ilvl="2" w:tplc="0C070005" w:tentative="1">
      <w:start w:val="1"/>
      <w:numFmt w:val="bullet"/>
      <w:lvlText w:val=""/>
      <w:lvlJc w:val="left"/>
      <w:pPr>
        <w:ind w:left="2376" w:hanging="360"/>
      </w:pPr>
      <w:rPr>
        <w:rFonts w:ascii="Wingdings" w:hAnsi="Wingdings" w:hint="default"/>
      </w:rPr>
    </w:lvl>
    <w:lvl w:ilvl="3" w:tplc="0C070001" w:tentative="1">
      <w:start w:val="1"/>
      <w:numFmt w:val="bullet"/>
      <w:lvlText w:val=""/>
      <w:lvlJc w:val="left"/>
      <w:pPr>
        <w:ind w:left="3096" w:hanging="360"/>
      </w:pPr>
      <w:rPr>
        <w:rFonts w:ascii="Symbol" w:hAnsi="Symbol" w:hint="default"/>
      </w:rPr>
    </w:lvl>
    <w:lvl w:ilvl="4" w:tplc="0C070003" w:tentative="1">
      <w:start w:val="1"/>
      <w:numFmt w:val="bullet"/>
      <w:lvlText w:val="o"/>
      <w:lvlJc w:val="left"/>
      <w:pPr>
        <w:ind w:left="3816" w:hanging="360"/>
      </w:pPr>
      <w:rPr>
        <w:rFonts w:ascii="Courier New" w:hAnsi="Courier New" w:cs="Courier New" w:hint="default"/>
      </w:rPr>
    </w:lvl>
    <w:lvl w:ilvl="5" w:tplc="0C070005" w:tentative="1">
      <w:start w:val="1"/>
      <w:numFmt w:val="bullet"/>
      <w:lvlText w:val=""/>
      <w:lvlJc w:val="left"/>
      <w:pPr>
        <w:ind w:left="4536" w:hanging="360"/>
      </w:pPr>
      <w:rPr>
        <w:rFonts w:ascii="Wingdings" w:hAnsi="Wingdings" w:hint="default"/>
      </w:rPr>
    </w:lvl>
    <w:lvl w:ilvl="6" w:tplc="0C070001" w:tentative="1">
      <w:start w:val="1"/>
      <w:numFmt w:val="bullet"/>
      <w:lvlText w:val=""/>
      <w:lvlJc w:val="left"/>
      <w:pPr>
        <w:ind w:left="5256" w:hanging="360"/>
      </w:pPr>
      <w:rPr>
        <w:rFonts w:ascii="Symbol" w:hAnsi="Symbol" w:hint="default"/>
      </w:rPr>
    </w:lvl>
    <w:lvl w:ilvl="7" w:tplc="0C070003" w:tentative="1">
      <w:start w:val="1"/>
      <w:numFmt w:val="bullet"/>
      <w:lvlText w:val="o"/>
      <w:lvlJc w:val="left"/>
      <w:pPr>
        <w:ind w:left="5976" w:hanging="360"/>
      </w:pPr>
      <w:rPr>
        <w:rFonts w:ascii="Courier New" w:hAnsi="Courier New" w:cs="Courier New" w:hint="default"/>
      </w:rPr>
    </w:lvl>
    <w:lvl w:ilvl="8" w:tplc="0C070005" w:tentative="1">
      <w:start w:val="1"/>
      <w:numFmt w:val="bullet"/>
      <w:lvlText w:val=""/>
      <w:lvlJc w:val="left"/>
      <w:pPr>
        <w:ind w:left="6696" w:hanging="360"/>
      </w:pPr>
      <w:rPr>
        <w:rFonts w:ascii="Wingdings" w:hAnsi="Wingdings" w:hint="default"/>
      </w:rPr>
    </w:lvl>
  </w:abstractNum>
  <w:abstractNum w:abstractNumId="15" w15:restartNumberingAfterBreak="0">
    <w:nsid w:val="461027EC"/>
    <w:multiLevelType w:val="hybridMultilevel"/>
    <w:tmpl w:val="E056C388"/>
    <w:lvl w:ilvl="0" w:tplc="1BACE15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73E3DA6"/>
    <w:multiLevelType w:val="hybridMultilevel"/>
    <w:tmpl w:val="117AF47E"/>
    <w:lvl w:ilvl="0" w:tplc="0C070001">
      <w:start w:val="1"/>
      <w:numFmt w:val="bullet"/>
      <w:lvlText w:val=""/>
      <w:lvlJc w:val="left"/>
      <w:pPr>
        <w:ind w:left="1571" w:hanging="360"/>
      </w:pPr>
      <w:rPr>
        <w:rFonts w:ascii="Symbol" w:hAnsi="Symbol" w:hint="default"/>
      </w:rPr>
    </w:lvl>
    <w:lvl w:ilvl="1" w:tplc="0C070003" w:tentative="1">
      <w:start w:val="1"/>
      <w:numFmt w:val="bullet"/>
      <w:lvlText w:val="o"/>
      <w:lvlJc w:val="left"/>
      <w:pPr>
        <w:ind w:left="2291" w:hanging="360"/>
      </w:pPr>
      <w:rPr>
        <w:rFonts w:ascii="Courier New" w:hAnsi="Courier New" w:cs="Courier New" w:hint="default"/>
      </w:rPr>
    </w:lvl>
    <w:lvl w:ilvl="2" w:tplc="0C070005" w:tentative="1">
      <w:start w:val="1"/>
      <w:numFmt w:val="bullet"/>
      <w:lvlText w:val=""/>
      <w:lvlJc w:val="left"/>
      <w:pPr>
        <w:ind w:left="3011" w:hanging="360"/>
      </w:pPr>
      <w:rPr>
        <w:rFonts w:ascii="Wingdings" w:hAnsi="Wingdings" w:hint="default"/>
      </w:rPr>
    </w:lvl>
    <w:lvl w:ilvl="3" w:tplc="0C070001" w:tentative="1">
      <w:start w:val="1"/>
      <w:numFmt w:val="bullet"/>
      <w:lvlText w:val=""/>
      <w:lvlJc w:val="left"/>
      <w:pPr>
        <w:ind w:left="3731" w:hanging="360"/>
      </w:pPr>
      <w:rPr>
        <w:rFonts w:ascii="Symbol" w:hAnsi="Symbol" w:hint="default"/>
      </w:rPr>
    </w:lvl>
    <w:lvl w:ilvl="4" w:tplc="0C070003" w:tentative="1">
      <w:start w:val="1"/>
      <w:numFmt w:val="bullet"/>
      <w:lvlText w:val="o"/>
      <w:lvlJc w:val="left"/>
      <w:pPr>
        <w:ind w:left="4451" w:hanging="360"/>
      </w:pPr>
      <w:rPr>
        <w:rFonts w:ascii="Courier New" w:hAnsi="Courier New" w:cs="Courier New" w:hint="default"/>
      </w:rPr>
    </w:lvl>
    <w:lvl w:ilvl="5" w:tplc="0C070005" w:tentative="1">
      <w:start w:val="1"/>
      <w:numFmt w:val="bullet"/>
      <w:lvlText w:val=""/>
      <w:lvlJc w:val="left"/>
      <w:pPr>
        <w:ind w:left="5171" w:hanging="360"/>
      </w:pPr>
      <w:rPr>
        <w:rFonts w:ascii="Wingdings" w:hAnsi="Wingdings" w:hint="default"/>
      </w:rPr>
    </w:lvl>
    <w:lvl w:ilvl="6" w:tplc="0C070001" w:tentative="1">
      <w:start w:val="1"/>
      <w:numFmt w:val="bullet"/>
      <w:lvlText w:val=""/>
      <w:lvlJc w:val="left"/>
      <w:pPr>
        <w:ind w:left="5891" w:hanging="360"/>
      </w:pPr>
      <w:rPr>
        <w:rFonts w:ascii="Symbol" w:hAnsi="Symbol" w:hint="default"/>
      </w:rPr>
    </w:lvl>
    <w:lvl w:ilvl="7" w:tplc="0C070003" w:tentative="1">
      <w:start w:val="1"/>
      <w:numFmt w:val="bullet"/>
      <w:lvlText w:val="o"/>
      <w:lvlJc w:val="left"/>
      <w:pPr>
        <w:ind w:left="6611" w:hanging="360"/>
      </w:pPr>
      <w:rPr>
        <w:rFonts w:ascii="Courier New" w:hAnsi="Courier New" w:cs="Courier New" w:hint="default"/>
      </w:rPr>
    </w:lvl>
    <w:lvl w:ilvl="8" w:tplc="0C070005" w:tentative="1">
      <w:start w:val="1"/>
      <w:numFmt w:val="bullet"/>
      <w:lvlText w:val=""/>
      <w:lvlJc w:val="left"/>
      <w:pPr>
        <w:ind w:left="7331" w:hanging="360"/>
      </w:pPr>
      <w:rPr>
        <w:rFonts w:ascii="Wingdings" w:hAnsi="Wingdings" w:hint="default"/>
      </w:rPr>
    </w:lvl>
  </w:abstractNum>
  <w:abstractNum w:abstractNumId="17" w15:restartNumberingAfterBreak="0">
    <w:nsid w:val="7D310C74"/>
    <w:multiLevelType w:val="hybridMultilevel"/>
    <w:tmpl w:val="47F270B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23405194">
    <w:abstractNumId w:val="10"/>
  </w:num>
  <w:num w:numId="2" w16cid:durableId="1104955375">
    <w:abstractNumId w:val="2"/>
  </w:num>
  <w:num w:numId="3" w16cid:durableId="186140834">
    <w:abstractNumId w:val="6"/>
  </w:num>
  <w:num w:numId="4" w16cid:durableId="1179004374">
    <w:abstractNumId w:val="13"/>
  </w:num>
  <w:num w:numId="5" w16cid:durableId="721364703">
    <w:abstractNumId w:val="3"/>
  </w:num>
  <w:num w:numId="6" w16cid:durableId="863446386">
    <w:abstractNumId w:val="7"/>
  </w:num>
  <w:num w:numId="7" w16cid:durableId="737174076">
    <w:abstractNumId w:val="17"/>
  </w:num>
  <w:num w:numId="8" w16cid:durableId="764693945">
    <w:abstractNumId w:val="15"/>
  </w:num>
  <w:num w:numId="9" w16cid:durableId="1998800547">
    <w:abstractNumId w:val="11"/>
  </w:num>
  <w:num w:numId="10" w16cid:durableId="1926571889">
    <w:abstractNumId w:val="1"/>
  </w:num>
  <w:num w:numId="11" w16cid:durableId="982779777">
    <w:abstractNumId w:val="14"/>
  </w:num>
  <w:num w:numId="12" w16cid:durableId="1205365809">
    <w:abstractNumId w:val="5"/>
  </w:num>
  <w:num w:numId="13" w16cid:durableId="942879290">
    <w:abstractNumId w:val="12"/>
  </w:num>
  <w:num w:numId="14" w16cid:durableId="1570537016">
    <w:abstractNumId w:val="12"/>
  </w:num>
  <w:num w:numId="15" w16cid:durableId="1549149014">
    <w:abstractNumId w:val="12"/>
  </w:num>
  <w:num w:numId="16" w16cid:durableId="299577387">
    <w:abstractNumId w:val="12"/>
  </w:num>
  <w:num w:numId="17" w16cid:durableId="984238824">
    <w:abstractNumId w:val="12"/>
  </w:num>
  <w:num w:numId="18" w16cid:durableId="314339725">
    <w:abstractNumId w:val="12"/>
  </w:num>
  <w:num w:numId="19" w16cid:durableId="974335227">
    <w:abstractNumId w:val="16"/>
  </w:num>
  <w:num w:numId="20" w16cid:durableId="117144430">
    <w:abstractNumId w:val="12"/>
  </w:num>
  <w:num w:numId="21" w16cid:durableId="1356418701">
    <w:abstractNumId w:val="9"/>
  </w:num>
  <w:num w:numId="22" w16cid:durableId="1756825357">
    <w:abstractNumId w:val="4"/>
  </w:num>
  <w:num w:numId="23" w16cid:durableId="1784113080">
    <w:abstractNumId w:val="12"/>
  </w:num>
  <w:num w:numId="24" w16cid:durableId="1934892270">
    <w:abstractNumId w:val="12"/>
  </w:num>
  <w:num w:numId="25" w16cid:durableId="967197971">
    <w:abstractNumId w:val="12"/>
  </w:num>
  <w:num w:numId="26" w16cid:durableId="2018848934">
    <w:abstractNumId w:val="12"/>
  </w:num>
  <w:num w:numId="27" w16cid:durableId="1709451493">
    <w:abstractNumId w:val="0"/>
  </w:num>
  <w:num w:numId="28" w16cid:durableId="1034842579">
    <w:abstractNumId w:val="8"/>
  </w:num>
  <w:num w:numId="29" w16cid:durableId="1627853714">
    <w:abstractNumId w:val="12"/>
  </w:num>
  <w:num w:numId="30" w16cid:durableId="13104786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79"/>
    <w:rsid w:val="00000588"/>
    <w:rsid w:val="00000C66"/>
    <w:rsid w:val="00007724"/>
    <w:rsid w:val="000077B8"/>
    <w:rsid w:val="0001610D"/>
    <w:rsid w:val="00017FAD"/>
    <w:rsid w:val="000354E9"/>
    <w:rsid w:val="0004061A"/>
    <w:rsid w:val="00040794"/>
    <w:rsid w:val="000475B8"/>
    <w:rsid w:val="000735CE"/>
    <w:rsid w:val="00073C6B"/>
    <w:rsid w:val="000761F6"/>
    <w:rsid w:val="00081517"/>
    <w:rsid w:val="000827FE"/>
    <w:rsid w:val="00092617"/>
    <w:rsid w:val="000931E5"/>
    <w:rsid w:val="000B23E0"/>
    <w:rsid w:val="000B6DEE"/>
    <w:rsid w:val="000C5EF3"/>
    <w:rsid w:val="000E34CC"/>
    <w:rsid w:val="000E6EBB"/>
    <w:rsid w:val="000F4154"/>
    <w:rsid w:val="00121362"/>
    <w:rsid w:val="00136EFB"/>
    <w:rsid w:val="00156245"/>
    <w:rsid w:val="001566FC"/>
    <w:rsid w:val="00157682"/>
    <w:rsid w:val="00165271"/>
    <w:rsid w:val="001722D0"/>
    <w:rsid w:val="00180ED8"/>
    <w:rsid w:val="00183322"/>
    <w:rsid w:val="001B0F9F"/>
    <w:rsid w:val="001B54C3"/>
    <w:rsid w:val="001C37AA"/>
    <w:rsid w:val="001C77AC"/>
    <w:rsid w:val="001D072C"/>
    <w:rsid w:val="001D46A7"/>
    <w:rsid w:val="00200A2E"/>
    <w:rsid w:val="00204F30"/>
    <w:rsid w:val="00214FB7"/>
    <w:rsid w:val="00223538"/>
    <w:rsid w:val="00234740"/>
    <w:rsid w:val="002413C2"/>
    <w:rsid w:val="0024206E"/>
    <w:rsid w:val="00243994"/>
    <w:rsid w:val="00252F37"/>
    <w:rsid w:val="002530E7"/>
    <w:rsid w:val="00265F29"/>
    <w:rsid w:val="00281626"/>
    <w:rsid w:val="0028555D"/>
    <w:rsid w:val="0028597B"/>
    <w:rsid w:val="00286159"/>
    <w:rsid w:val="00287BB9"/>
    <w:rsid w:val="00291BB7"/>
    <w:rsid w:val="0029780B"/>
    <w:rsid w:val="002C1C6D"/>
    <w:rsid w:val="002C1E9C"/>
    <w:rsid w:val="002C5D67"/>
    <w:rsid w:val="002D473A"/>
    <w:rsid w:val="002D6101"/>
    <w:rsid w:val="002D7393"/>
    <w:rsid w:val="002D7B8D"/>
    <w:rsid w:val="002E7FD8"/>
    <w:rsid w:val="002F4CE1"/>
    <w:rsid w:val="002F5E51"/>
    <w:rsid w:val="0030624D"/>
    <w:rsid w:val="003245AF"/>
    <w:rsid w:val="00330437"/>
    <w:rsid w:val="00334BEB"/>
    <w:rsid w:val="003415EB"/>
    <w:rsid w:val="0035302F"/>
    <w:rsid w:val="00360EC0"/>
    <w:rsid w:val="00366308"/>
    <w:rsid w:val="0037555A"/>
    <w:rsid w:val="00376585"/>
    <w:rsid w:val="003A0EFF"/>
    <w:rsid w:val="003B76FA"/>
    <w:rsid w:val="003D38C9"/>
    <w:rsid w:val="003E40E5"/>
    <w:rsid w:val="00402BA5"/>
    <w:rsid w:val="00420969"/>
    <w:rsid w:val="004210F5"/>
    <w:rsid w:val="004705DC"/>
    <w:rsid w:val="00475A27"/>
    <w:rsid w:val="00483F1D"/>
    <w:rsid w:val="004A36FA"/>
    <w:rsid w:val="004A4ECC"/>
    <w:rsid w:val="004C47B5"/>
    <w:rsid w:val="004C79C3"/>
    <w:rsid w:val="004E7B69"/>
    <w:rsid w:val="004F0068"/>
    <w:rsid w:val="004F78E5"/>
    <w:rsid w:val="00501F64"/>
    <w:rsid w:val="00516E3A"/>
    <w:rsid w:val="0052282A"/>
    <w:rsid w:val="005346A7"/>
    <w:rsid w:val="00540C3D"/>
    <w:rsid w:val="00543FFD"/>
    <w:rsid w:val="00545A49"/>
    <w:rsid w:val="00547905"/>
    <w:rsid w:val="00552EB0"/>
    <w:rsid w:val="00566C62"/>
    <w:rsid w:val="00574CD3"/>
    <w:rsid w:val="00585A7E"/>
    <w:rsid w:val="005A1ACA"/>
    <w:rsid w:val="005B2D40"/>
    <w:rsid w:val="005C12A4"/>
    <w:rsid w:val="005D05CB"/>
    <w:rsid w:val="005D330B"/>
    <w:rsid w:val="005E407D"/>
    <w:rsid w:val="005E785A"/>
    <w:rsid w:val="005F31CB"/>
    <w:rsid w:val="006027EF"/>
    <w:rsid w:val="006116B6"/>
    <w:rsid w:val="00623071"/>
    <w:rsid w:val="00627644"/>
    <w:rsid w:val="006451B1"/>
    <w:rsid w:val="00653DA5"/>
    <w:rsid w:val="00661D86"/>
    <w:rsid w:val="006762A8"/>
    <w:rsid w:val="006950F5"/>
    <w:rsid w:val="00696AFA"/>
    <w:rsid w:val="006C71BD"/>
    <w:rsid w:val="006D07BE"/>
    <w:rsid w:val="006E4373"/>
    <w:rsid w:val="006E6C90"/>
    <w:rsid w:val="00716874"/>
    <w:rsid w:val="00720CB9"/>
    <w:rsid w:val="007222B4"/>
    <w:rsid w:val="0073071A"/>
    <w:rsid w:val="00732654"/>
    <w:rsid w:val="00734125"/>
    <w:rsid w:val="00734A8C"/>
    <w:rsid w:val="007368E9"/>
    <w:rsid w:val="00742E79"/>
    <w:rsid w:val="00743CF5"/>
    <w:rsid w:val="00750584"/>
    <w:rsid w:val="007547F5"/>
    <w:rsid w:val="00764495"/>
    <w:rsid w:val="00767A90"/>
    <w:rsid w:val="00771D4D"/>
    <w:rsid w:val="00785A57"/>
    <w:rsid w:val="00796C7A"/>
    <w:rsid w:val="007B363B"/>
    <w:rsid w:val="007B715B"/>
    <w:rsid w:val="007D55C7"/>
    <w:rsid w:val="007F1127"/>
    <w:rsid w:val="007F40F6"/>
    <w:rsid w:val="00813C65"/>
    <w:rsid w:val="00827F90"/>
    <w:rsid w:val="0083075E"/>
    <w:rsid w:val="00837937"/>
    <w:rsid w:val="008409CA"/>
    <w:rsid w:val="00845A19"/>
    <w:rsid w:val="00851AF3"/>
    <w:rsid w:val="00852833"/>
    <w:rsid w:val="00855BD4"/>
    <w:rsid w:val="00860F20"/>
    <w:rsid w:val="008736B2"/>
    <w:rsid w:val="00884E23"/>
    <w:rsid w:val="008A0BD9"/>
    <w:rsid w:val="008A7B84"/>
    <w:rsid w:val="008C4AF3"/>
    <w:rsid w:val="008C4B46"/>
    <w:rsid w:val="008C5BDE"/>
    <w:rsid w:val="008E160A"/>
    <w:rsid w:val="008E649D"/>
    <w:rsid w:val="008E65ED"/>
    <w:rsid w:val="008F1EAB"/>
    <w:rsid w:val="008F45C1"/>
    <w:rsid w:val="00907D0D"/>
    <w:rsid w:val="009143C9"/>
    <w:rsid w:val="0092043E"/>
    <w:rsid w:val="00933B79"/>
    <w:rsid w:val="00935790"/>
    <w:rsid w:val="00942163"/>
    <w:rsid w:val="009566A7"/>
    <w:rsid w:val="00962CC2"/>
    <w:rsid w:val="00975230"/>
    <w:rsid w:val="009913A4"/>
    <w:rsid w:val="009B6707"/>
    <w:rsid w:val="009C224C"/>
    <w:rsid w:val="009F6D83"/>
    <w:rsid w:val="00A00E58"/>
    <w:rsid w:val="00A1030C"/>
    <w:rsid w:val="00A16CC3"/>
    <w:rsid w:val="00A36F9A"/>
    <w:rsid w:val="00A47279"/>
    <w:rsid w:val="00A56CE9"/>
    <w:rsid w:val="00A5724A"/>
    <w:rsid w:val="00A6533A"/>
    <w:rsid w:val="00A65DB4"/>
    <w:rsid w:val="00A66992"/>
    <w:rsid w:val="00A77346"/>
    <w:rsid w:val="00A90FBD"/>
    <w:rsid w:val="00AD5BBF"/>
    <w:rsid w:val="00AE1C12"/>
    <w:rsid w:val="00AE20FC"/>
    <w:rsid w:val="00AF2191"/>
    <w:rsid w:val="00B00741"/>
    <w:rsid w:val="00B07A82"/>
    <w:rsid w:val="00B11A0B"/>
    <w:rsid w:val="00B22338"/>
    <w:rsid w:val="00B33357"/>
    <w:rsid w:val="00B35F2D"/>
    <w:rsid w:val="00B36E7A"/>
    <w:rsid w:val="00B43BBB"/>
    <w:rsid w:val="00B5071D"/>
    <w:rsid w:val="00B507EE"/>
    <w:rsid w:val="00B57482"/>
    <w:rsid w:val="00B67C01"/>
    <w:rsid w:val="00B733B0"/>
    <w:rsid w:val="00B80B4B"/>
    <w:rsid w:val="00B81D02"/>
    <w:rsid w:val="00B85E9B"/>
    <w:rsid w:val="00B90EB7"/>
    <w:rsid w:val="00BA2B7F"/>
    <w:rsid w:val="00BA3E45"/>
    <w:rsid w:val="00BA6806"/>
    <w:rsid w:val="00BB15C7"/>
    <w:rsid w:val="00BC125A"/>
    <w:rsid w:val="00BC4A18"/>
    <w:rsid w:val="00BD774B"/>
    <w:rsid w:val="00BE42B4"/>
    <w:rsid w:val="00BF1328"/>
    <w:rsid w:val="00BF2D17"/>
    <w:rsid w:val="00BF3F9F"/>
    <w:rsid w:val="00C0178B"/>
    <w:rsid w:val="00C102AC"/>
    <w:rsid w:val="00C21088"/>
    <w:rsid w:val="00C26503"/>
    <w:rsid w:val="00C3283E"/>
    <w:rsid w:val="00C34F9E"/>
    <w:rsid w:val="00C35DF2"/>
    <w:rsid w:val="00C4733F"/>
    <w:rsid w:val="00C52E1B"/>
    <w:rsid w:val="00C542C5"/>
    <w:rsid w:val="00C6035F"/>
    <w:rsid w:val="00C81046"/>
    <w:rsid w:val="00C9124B"/>
    <w:rsid w:val="00CA22D3"/>
    <w:rsid w:val="00CA48BA"/>
    <w:rsid w:val="00CB210A"/>
    <w:rsid w:val="00CB2849"/>
    <w:rsid w:val="00D0269F"/>
    <w:rsid w:val="00D21CA1"/>
    <w:rsid w:val="00D310B3"/>
    <w:rsid w:val="00D46CC4"/>
    <w:rsid w:val="00D566F5"/>
    <w:rsid w:val="00D610A6"/>
    <w:rsid w:val="00D618AD"/>
    <w:rsid w:val="00D637BB"/>
    <w:rsid w:val="00D638FE"/>
    <w:rsid w:val="00D73457"/>
    <w:rsid w:val="00D81358"/>
    <w:rsid w:val="00D8615A"/>
    <w:rsid w:val="00D964F2"/>
    <w:rsid w:val="00D96B3B"/>
    <w:rsid w:val="00DA1C03"/>
    <w:rsid w:val="00DA5A11"/>
    <w:rsid w:val="00E00717"/>
    <w:rsid w:val="00E04C52"/>
    <w:rsid w:val="00E1238E"/>
    <w:rsid w:val="00E16A5C"/>
    <w:rsid w:val="00E2428D"/>
    <w:rsid w:val="00E27894"/>
    <w:rsid w:val="00E406D1"/>
    <w:rsid w:val="00E4441B"/>
    <w:rsid w:val="00E44F0B"/>
    <w:rsid w:val="00E5020D"/>
    <w:rsid w:val="00E63754"/>
    <w:rsid w:val="00E85979"/>
    <w:rsid w:val="00EC7E70"/>
    <w:rsid w:val="00ED2D36"/>
    <w:rsid w:val="00ED552F"/>
    <w:rsid w:val="00ED7083"/>
    <w:rsid w:val="00EE332D"/>
    <w:rsid w:val="00EE5F8D"/>
    <w:rsid w:val="00EF2BD5"/>
    <w:rsid w:val="00EF45DB"/>
    <w:rsid w:val="00F24EBE"/>
    <w:rsid w:val="00F32454"/>
    <w:rsid w:val="00F34B70"/>
    <w:rsid w:val="00F411FB"/>
    <w:rsid w:val="00F4249C"/>
    <w:rsid w:val="00F520FC"/>
    <w:rsid w:val="00F72FF7"/>
    <w:rsid w:val="00F7699E"/>
    <w:rsid w:val="00F85882"/>
    <w:rsid w:val="00F867C3"/>
    <w:rsid w:val="00FB255D"/>
    <w:rsid w:val="00FC52E8"/>
    <w:rsid w:val="00FC6EE6"/>
    <w:rsid w:val="00FD2B24"/>
    <w:rsid w:val="00FE05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A8343"/>
  <w15:docId w15:val="{DE979E0F-722C-4D78-8F16-F787D86D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85A57"/>
    <w:pPr>
      <w:spacing w:after="0"/>
    </w:pPr>
    <w:rPr>
      <w:rFonts w:ascii="Arial Narrow" w:eastAsia="Times New Roman" w:hAnsi="Arial Narrow" w:cs="Times New Roman"/>
      <w:lang w:val="de-DE" w:eastAsia="de-DE"/>
    </w:rPr>
  </w:style>
  <w:style w:type="paragraph" w:styleId="berschrift1">
    <w:name w:val="heading 1"/>
    <w:basedOn w:val="Standard"/>
    <w:next w:val="Standard"/>
    <w:link w:val="berschrift1Zchn"/>
    <w:qFormat/>
    <w:rsid w:val="005A1ACA"/>
    <w:pPr>
      <w:keepNext/>
      <w:keepLines/>
      <w:spacing w:before="480"/>
      <w:outlineLvl w:val="0"/>
    </w:pPr>
    <w:rPr>
      <w:rFonts w:cs="Arial"/>
      <w:b/>
      <w:bCs/>
      <w:iCs/>
      <w:sz w:val="26"/>
      <w:szCs w:val="28"/>
    </w:rPr>
  </w:style>
  <w:style w:type="paragraph" w:styleId="berschrift2">
    <w:name w:val="heading 2"/>
    <w:basedOn w:val="Standard"/>
    <w:next w:val="Standard"/>
    <w:link w:val="berschrift2Zchn"/>
    <w:unhideWhenUsed/>
    <w:qFormat/>
    <w:rsid w:val="005A1ACA"/>
    <w:pPr>
      <w:keepNext/>
      <w:spacing w:before="360" w:after="240"/>
      <w:ind w:left="567" w:hanging="567"/>
      <w:outlineLvl w:val="1"/>
    </w:pPr>
    <w:rPr>
      <w:rFonts w:cs="Arial"/>
      <w:b/>
      <w:bCs/>
      <w:iCs/>
      <w:sz w:val="26"/>
      <w:szCs w:val="28"/>
    </w:rPr>
  </w:style>
  <w:style w:type="paragraph" w:styleId="berschrift3">
    <w:name w:val="heading 3"/>
    <w:basedOn w:val="Standard"/>
    <w:next w:val="Standard"/>
    <w:link w:val="berschrift3Zchn"/>
    <w:unhideWhenUsed/>
    <w:qFormat/>
    <w:rsid w:val="005A1ACA"/>
    <w:pPr>
      <w:keepNext/>
      <w:tabs>
        <w:tab w:val="num" w:pos="567"/>
      </w:tabs>
      <w:spacing w:before="240" w:after="60"/>
      <w:ind w:left="567" w:hanging="567"/>
      <w:outlineLvl w:val="2"/>
    </w:pPr>
    <w:rPr>
      <w:rFonts w:cs="Arial"/>
      <w:b/>
      <w:bCs/>
      <w:szCs w:val="26"/>
    </w:rPr>
  </w:style>
  <w:style w:type="paragraph" w:styleId="berschrift4">
    <w:name w:val="heading 4"/>
    <w:basedOn w:val="Standard"/>
    <w:next w:val="Standard"/>
    <w:link w:val="berschrift4Zchn"/>
    <w:unhideWhenUsed/>
    <w:qFormat/>
    <w:rsid w:val="00A36F9A"/>
    <w:pPr>
      <w:keepNext/>
      <w:keepLines/>
      <w:spacing w:before="160" w:after="80"/>
      <w:outlineLvl w:val="3"/>
    </w:pPr>
    <w:rPr>
      <w:rFonts w:eastAsiaTheme="majorEastAsia"/>
      <w:bCs/>
      <w:i/>
      <w:iCs/>
    </w:rPr>
  </w:style>
  <w:style w:type="paragraph" w:styleId="berschrift5">
    <w:name w:val="heading 5"/>
    <w:basedOn w:val="Standard"/>
    <w:next w:val="Standard"/>
    <w:link w:val="berschrift5Zchn"/>
    <w:uiPriority w:val="9"/>
    <w:unhideWhenUsed/>
    <w:qFormat/>
    <w:rsid w:val="00785A57"/>
    <w:pPr>
      <w:keepNext/>
      <w:keepLines/>
      <w:spacing w:before="160" w:after="120"/>
      <w:outlineLvl w:val="4"/>
    </w:pPr>
    <w:rPr>
      <w:rFonts w:eastAsiaTheme="majorEastAsia" w:cstheme="majorBidi"/>
      <w:b/>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6F9A"/>
    <w:pPr>
      <w:ind w:left="720"/>
      <w:contextualSpacing/>
    </w:pPr>
  </w:style>
  <w:style w:type="paragraph" w:customStyle="1" w:styleId="StandardAbs">
    <w:name w:val="StandardAbs"/>
    <w:basedOn w:val="Standard"/>
    <w:link w:val="StandardAbsZchn"/>
    <w:qFormat/>
    <w:rsid w:val="00A36F9A"/>
    <w:pPr>
      <w:spacing w:before="160"/>
    </w:pPr>
  </w:style>
  <w:style w:type="character" w:customStyle="1" w:styleId="berschrift1Zchn">
    <w:name w:val="Überschrift 1 Zchn"/>
    <w:basedOn w:val="Absatz-Standardschriftart"/>
    <w:link w:val="berschrift1"/>
    <w:uiPriority w:val="9"/>
    <w:rsid w:val="005A1ACA"/>
    <w:rPr>
      <w:rFonts w:ascii="Arial Narrow" w:eastAsia="Times New Roman" w:hAnsi="Arial Narrow" w:cs="Arial"/>
      <w:b/>
      <w:bCs/>
      <w:iCs/>
      <w:sz w:val="26"/>
      <w:szCs w:val="28"/>
      <w:lang w:val="de-DE" w:eastAsia="de-DE"/>
    </w:rPr>
  </w:style>
  <w:style w:type="character" w:customStyle="1" w:styleId="berschrift2Zchn">
    <w:name w:val="Überschrift 2 Zchn"/>
    <w:basedOn w:val="Absatz-Standardschriftart"/>
    <w:link w:val="berschrift2"/>
    <w:rsid w:val="005A1ACA"/>
    <w:rPr>
      <w:rFonts w:ascii="Arial Narrow" w:eastAsia="Times New Roman" w:hAnsi="Arial Narrow" w:cs="Arial"/>
      <w:b/>
      <w:bCs/>
      <w:iCs/>
      <w:sz w:val="26"/>
      <w:szCs w:val="28"/>
      <w:lang w:val="de-DE" w:eastAsia="de-DE"/>
    </w:rPr>
  </w:style>
  <w:style w:type="character" w:customStyle="1" w:styleId="berschrift3Zchn">
    <w:name w:val="Überschrift 3 Zchn"/>
    <w:basedOn w:val="Absatz-Standardschriftart"/>
    <w:link w:val="berschrift3"/>
    <w:rsid w:val="005A1ACA"/>
    <w:rPr>
      <w:rFonts w:ascii="Arial Narrow" w:eastAsia="Times New Roman" w:hAnsi="Arial Narrow" w:cs="Arial"/>
      <w:b/>
      <w:bCs/>
      <w:szCs w:val="26"/>
      <w:lang w:val="de-DE" w:eastAsia="de-DE"/>
    </w:rPr>
  </w:style>
  <w:style w:type="character" w:customStyle="1" w:styleId="berschrift4Zchn">
    <w:name w:val="Überschrift 4 Zchn"/>
    <w:basedOn w:val="Absatz-Standardschriftart"/>
    <w:link w:val="berschrift4"/>
    <w:rsid w:val="00A36F9A"/>
    <w:rPr>
      <w:rFonts w:ascii="Arial" w:eastAsiaTheme="majorEastAsia" w:hAnsi="Arial" w:cs="Arial"/>
      <w:bCs/>
      <w:i/>
      <w:iCs/>
      <w:sz w:val="20"/>
      <w:szCs w:val="20"/>
    </w:rPr>
  </w:style>
  <w:style w:type="paragraph" w:customStyle="1" w:styleId="Bild">
    <w:name w:val="Bild"/>
    <w:basedOn w:val="Standard"/>
    <w:link w:val="BildZchn"/>
    <w:qFormat/>
    <w:rsid w:val="00A36F9A"/>
    <w:pPr>
      <w:spacing w:before="160" w:after="160" w:line="240" w:lineRule="auto"/>
    </w:pPr>
  </w:style>
  <w:style w:type="character" w:customStyle="1" w:styleId="BildZchn">
    <w:name w:val="Bild Zchn"/>
    <w:basedOn w:val="Absatz-Standardschriftart"/>
    <w:link w:val="Bild"/>
    <w:rsid w:val="00A36F9A"/>
    <w:rPr>
      <w:rFonts w:ascii="Arial" w:hAnsi="Arial" w:cs="Arial"/>
      <w:sz w:val="20"/>
      <w:szCs w:val="20"/>
    </w:rPr>
  </w:style>
  <w:style w:type="table" w:styleId="Tabellenraster">
    <w:name w:val="Table Grid"/>
    <w:basedOn w:val="NormaleTabelle"/>
    <w:uiPriority w:val="59"/>
    <w:rsid w:val="0074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1C37AA"/>
    <w:rPr>
      <w:sz w:val="16"/>
      <w:szCs w:val="16"/>
    </w:rPr>
  </w:style>
  <w:style w:type="paragraph" w:styleId="Kommentartext">
    <w:name w:val="annotation text"/>
    <w:basedOn w:val="Standard"/>
    <w:link w:val="KommentartextZchn"/>
    <w:uiPriority w:val="99"/>
    <w:unhideWhenUsed/>
    <w:rsid w:val="001C37AA"/>
    <w:pPr>
      <w:spacing w:line="240" w:lineRule="auto"/>
    </w:pPr>
    <w:rPr>
      <w:sz w:val="20"/>
      <w:szCs w:val="20"/>
    </w:rPr>
  </w:style>
  <w:style w:type="character" w:customStyle="1" w:styleId="KommentartextZchn">
    <w:name w:val="Kommentartext Zchn"/>
    <w:basedOn w:val="Absatz-Standardschriftart"/>
    <w:link w:val="Kommentartext"/>
    <w:uiPriority w:val="99"/>
    <w:rsid w:val="001C37AA"/>
    <w:rPr>
      <w:rFonts w:ascii="Arial Narrow" w:eastAsia="Times New Roman" w:hAnsi="Arial Narrow"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C37AA"/>
    <w:rPr>
      <w:b/>
      <w:bCs/>
    </w:rPr>
  </w:style>
  <w:style w:type="character" w:customStyle="1" w:styleId="KommentarthemaZchn">
    <w:name w:val="Kommentarthema Zchn"/>
    <w:basedOn w:val="KommentartextZchn"/>
    <w:link w:val="Kommentarthema"/>
    <w:uiPriority w:val="99"/>
    <w:semiHidden/>
    <w:rsid w:val="001C37AA"/>
    <w:rPr>
      <w:rFonts w:ascii="Arial Narrow" w:eastAsia="Times New Roman" w:hAnsi="Arial Narrow" w:cs="Times New Roman"/>
      <w:b/>
      <w:bCs/>
      <w:sz w:val="20"/>
      <w:szCs w:val="20"/>
      <w:lang w:val="de-DE" w:eastAsia="de-DE"/>
    </w:rPr>
  </w:style>
  <w:style w:type="paragraph" w:styleId="Sprechblasentext">
    <w:name w:val="Balloon Text"/>
    <w:basedOn w:val="Standard"/>
    <w:link w:val="SprechblasentextZchn"/>
    <w:uiPriority w:val="99"/>
    <w:semiHidden/>
    <w:unhideWhenUsed/>
    <w:rsid w:val="001C37A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37AA"/>
    <w:rPr>
      <w:rFonts w:ascii="Tahoma" w:eastAsia="Times New Roman" w:hAnsi="Tahoma" w:cs="Tahoma"/>
      <w:sz w:val="16"/>
      <w:szCs w:val="16"/>
      <w:lang w:val="de-DE" w:eastAsia="de-DE"/>
    </w:rPr>
  </w:style>
  <w:style w:type="character" w:customStyle="1" w:styleId="StandardAbsZchn">
    <w:name w:val="StandardAbs Zchn"/>
    <w:link w:val="StandardAbs"/>
    <w:rsid w:val="00837937"/>
    <w:rPr>
      <w:rFonts w:ascii="Arial Narrow" w:eastAsia="Times New Roman" w:hAnsi="Arial Narrow" w:cs="Times New Roman"/>
      <w:lang w:val="de-DE" w:eastAsia="de-DE"/>
    </w:rPr>
  </w:style>
  <w:style w:type="character" w:customStyle="1" w:styleId="berschrift5Zchn">
    <w:name w:val="Überschrift 5 Zchn"/>
    <w:basedOn w:val="Absatz-Standardschriftart"/>
    <w:link w:val="berschrift5"/>
    <w:uiPriority w:val="9"/>
    <w:rsid w:val="00785A57"/>
    <w:rPr>
      <w:rFonts w:ascii="Arial Narrow" w:eastAsiaTheme="majorEastAsia" w:hAnsi="Arial Narrow" w:cstheme="majorBidi"/>
      <w:b/>
      <w:color w:val="365F91" w:themeColor="accent1" w:themeShade="BF"/>
      <w:lang w:val="de-DE" w:eastAsia="de-DE"/>
    </w:rPr>
  </w:style>
  <w:style w:type="paragraph" w:customStyle="1" w:styleId="Regeln">
    <w:name w:val="Regeln"/>
    <w:basedOn w:val="Listenabsatz"/>
    <w:qFormat/>
    <w:rsid w:val="005D330B"/>
    <w:pPr>
      <w:numPr>
        <w:numId w:val="13"/>
      </w:numPr>
      <w:spacing w:before="120"/>
      <w:contextualSpacing w:val="0"/>
    </w:pPr>
  </w:style>
  <w:style w:type="paragraph" w:styleId="Beschriftung">
    <w:name w:val="caption"/>
    <w:basedOn w:val="Standard"/>
    <w:next w:val="Standard"/>
    <w:uiPriority w:val="35"/>
    <w:unhideWhenUsed/>
    <w:qFormat/>
    <w:rsid w:val="004A36FA"/>
    <w:pPr>
      <w:spacing w:after="200" w:line="240" w:lineRule="auto"/>
    </w:pPr>
    <w:rPr>
      <w:i/>
      <w:iCs/>
      <w:color w:val="1F497D" w:themeColor="text2"/>
      <w:sz w:val="18"/>
      <w:szCs w:val="18"/>
    </w:rPr>
  </w:style>
  <w:style w:type="paragraph" w:styleId="Kopfzeile">
    <w:name w:val="header"/>
    <w:basedOn w:val="Standard"/>
    <w:link w:val="KopfzeileZchn"/>
    <w:uiPriority w:val="99"/>
    <w:unhideWhenUsed/>
    <w:rsid w:val="00265F2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65F29"/>
    <w:rPr>
      <w:rFonts w:ascii="Arial Narrow" w:eastAsia="Times New Roman" w:hAnsi="Arial Narrow" w:cs="Times New Roman"/>
      <w:lang w:val="de-DE" w:eastAsia="de-DE"/>
    </w:rPr>
  </w:style>
  <w:style w:type="paragraph" w:styleId="Fuzeile">
    <w:name w:val="footer"/>
    <w:basedOn w:val="Standard"/>
    <w:link w:val="FuzeileZchn"/>
    <w:uiPriority w:val="99"/>
    <w:unhideWhenUsed/>
    <w:rsid w:val="00265F2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65F29"/>
    <w:rPr>
      <w:rFonts w:ascii="Arial Narrow" w:eastAsia="Times New Roman" w:hAnsi="Arial Narrow" w:cs="Times New Roman"/>
      <w:lang w:val="de-DE" w:eastAsia="de-DE"/>
    </w:rPr>
  </w:style>
  <w:style w:type="character" w:styleId="Seitenzahl">
    <w:name w:val="page number"/>
    <w:basedOn w:val="Absatz-Standardschriftart"/>
    <w:rsid w:val="00585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419708">
      <w:bodyDiv w:val="1"/>
      <w:marLeft w:val="0"/>
      <w:marRight w:val="0"/>
      <w:marTop w:val="0"/>
      <w:marBottom w:val="0"/>
      <w:divBdr>
        <w:top w:val="none" w:sz="0" w:space="0" w:color="auto"/>
        <w:left w:val="none" w:sz="0" w:space="0" w:color="auto"/>
        <w:bottom w:val="none" w:sz="0" w:space="0" w:color="auto"/>
        <w:right w:val="none" w:sz="0" w:space="0" w:color="auto"/>
      </w:divBdr>
    </w:div>
    <w:div w:id="494104434">
      <w:bodyDiv w:val="1"/>
      <w:marLeft w:val="0"/>
      <w:marRight w:val="0"/>
      <w:marTop w:val="0"/>
      <w:marBottom w:val="0"/>
      <w:divBdr>
        <w:top w:val="none" w:sz="0" w:space="0" w:color="auto"/>
        <w:left w:val="none" w:sz="0" w:space="0" w:color="auto"/>
        <w:bottom w:val="none" w:sz="0" w:space="0" w:color="auto"/>
        <w:right w:val="none" w:sz="0" w:space="0" w:color="auto"/>
      </w:divBdr>
    </w:div>
    <w:div w:id="944267970">
      <w:bodyDiv w:val="1"/>
      <w:marLeft w:val="0"/>
      <w:marRight w:val="0"/>
      <w:marTop w:val="0"/>
      <w:marBottom w:val="0"/>
      <w:divBdr>
        <w:top w:val="none" w:sz="0" w:space="0" w:color="auto"/>
        <w:left w:val="none" w:sz="0" w:space="0" w:color="auto"/>
        <w:bottom w:val="none" w:sz="0" w:space="0" w:color="auto"/>
        <w:right w:val="none" w:sz="0" w:space="0" w:color="auto"/>
      </w:divBdr>
    </w:div>
    <w:div w:id="19612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FAA0-BC12-4F07-8E49-8C8A75519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3150</Words>
  <Characters>19850</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backupadmin</dc:creator>
  <cp:lastModifiedBy>Sarah Richter</cp:lastModifiedBy>
  <cp:revision>10</cp:revision>
  <cp:lastPrinted>2024-12-22T16:16:00Z</cp:lastPrinted>
  <dcterms:created xsi:type="dcterms:W3CDTF">2021-12-02T11:29:00Z</dcterms:created>
  <dcterms:modified xsi:type="dcterms:W3CDTF">2024-12-22T16:16:00Z</dcterms:modified>
</cp:coreProperties>
</file>