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0D" w:rsidRPr="004A68C4" w:rsidRDefault="00790E1D" w:rsidP="003A2448">
      <w:pPr>
        <w:autoSpaceDE w:val="0"/>
        <w:spacing w:before="120" w:line="240" w:lineRule="auto"/>
        <w:jc w:val="center"/>
        <w:rPr>
          <w:b/>
          <w:color w:val="17365D" w:themeColor="text2" w:themeShade="BF"/>
          <w:sz w:val="40"/>
          <w:szCs w:val="40"/>
        </w:rPr>
      </w:pPr>
      <w:bookmarkStart w:id="0" w:name="EPDRemovePub_1"/>
      <w:r>
        <w:rPr>
          <w:b/>
          <w:noProof/>
          <w:color w:val="17365D" w:themeColor="text2" w:themeShade="BF"/>
          <w:sz w:val="40"/>
          <w:szCs w:val="40"/>
          <w:lang w:val="de-AT" w:eastAsia="de-AT"/>
        </w:rPr>
        <mc:AlternateContent>
          <mc:Choice Requires="wps">
            <w:drawing>
              <wp:anchor distT="0" distB="0" distL="114300" distR="114300" simplePos="0" relativeHeight="251656192" behindDoc="1" locked="0" layoutInCell="1" allowOverlap="1" wp14:anchorId="1CF30321" wp14:editId="31CBD80A">
                <wp:simplePos x="0" y="0"/>
                <wp:positionH relativeFrom="column">
                  <wp:posOffset>-871220</wp:posOffset>
                </wp:positionH>
                <wp:positionV relativeFrom="page">
                  <wp:posOffset>530860</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DB7D8" id="Rectangle 15" o:spid="_x0000_s1026" style="position:absolute;margin-left:-68.6pt;margin-top:41.8pt;width:617.85pt;height:8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" fillcolor="#c6d9f1 [671]" stroked="f" strokecolor="blue" strokeweight="1.5pt">
                <v:shadow opacity="22938f" offset="0"/>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1D66C3" w:rsidRPr="004A68C4" w:rsidTr="002A30AB">
        <w:trPr>
          <w:trHeight w:val="838"/>
        </w:trPr>
        <w:tc>
          <w:tcPr>
            <w:tcW w:w="9639" w:type="dxa"/>
            <w:shd w:val="clear" w:color="auto" w:fill="DAEEF3" w:themeFill="accent5" w:themeFillTint="33"/>
          </w:tcPr>
          <w:p w:rsidR="001D3B0D" w:rsidRPr="004A68C4" w:rsidRDefault="0002054B" w:rsidP="003A2448">
            <w:pPr>
              <w:autoSpaceDE w:val="0"/>
              <w:spacing w:before="120" w:line="240" w:lineRule="auto"/>
              <w:jc w:val="center"/>
              <w:rPr>
                <w:b/>
                <w:color w:val="17365D" w:themeColor="text2" w:themeShade="BF"/>
                <w:sz w:val="40"/>
                <w:szCs w:val="40"/>
              </w:rPr>
            </w:pPr>
            <w:r w:rsidRPr="004A68C4">
              <w:rPr>
                <w:b/>
                <w:color w:val="17365D" w:themeColor="text2" w:themeShade="BF"/>
                <w:sz w:val="40"/>
                <w:szCs w:val="40"/>
              </w:rPr>
              <w:t>PCR Anleitungstexte</w:t>
            </w:r>
            <w:r w:rsidR="001D3B0D" w:rsidRPr="004A68C4">
              <w:rPr>
                <w:b/>
                <w:color w:val="17365D" w:themeColor="text2" w:themeShade="BF"/>
                <w:sz w:val="40"/>
                <w:szCs w:val="40"/>
              </w:rPr>
              <w:t xml:space="preserve"> </w:t>
            </w:r>
            <w:r w:rsidRPr="004A68C4">
              <w:rPr>
                <w:b/>
                <w:color w:val="17365D" w:themeColor="text2" w:themeShade="BF"/>
                <w:sz w:val="40"/>
                <w:szCs w:val="40"/>
              </w:rPr>
              <w:t xml:space="preserve">für </w:t>
            </w:r>
            <w:r w:rsidR="001D3B0D" w:rsidRPr="004A68C4">
              <w:rPr>
                <w:b/>
                <w:color w:val="17365D" w:themeColor="text2" w:themeShade="BF"/>
                <w:sz w:val="40"/>
                <w:szCs w:val="40"/>
              </w:rPr>
              <w:t>Bauprodukte</w:t>
            </w:r>
          </w:p>
          <w:p w:rsidR="001D3B0D" w:rsidRPr="001E4C1E" w:rsidRDefault="00713FE1" w:rsidP="003A2448">
            <w:pPr>
              <w:autoSpaceDE w:val="0"/>
              <w:spacing w:before="120" w:line="240" w:lineRule="auto"/>
              <w:jc w:val="center"/>
              <w:rPr>
                <w:b/>
                <w:color w:val="17365D" w:themeColor="text2" w:themeShade="BF"/>
                <w:sz w:val="28"/>
                <w:szCs w:val="28"/>
              </w:rPr>
            </w:pPr>
            <w:r w:rsidRPr="001E4C1E">
              <w:rPr>
                <w:b/>
                <w:color w:val="17365D" w:themeColor="text2" w:themeShade="BF"/>
                <w:sz w:val="28"/>
                <w:szCs w:val="28"/>
              </w:rPr>
              <w:t>nach ISO 14025 und EN 15804</w:t>
            </w:r>
          </w:p>
        </w:tc>
      </w:tr>
      <w:tr w:rsidR="001D66C3" w:rsidRPr="004A68C4" w:rsidTr="002A30AB">
        <w:trPr>
          <w:trHeight w:val="838"/>
        </w:trPr>
        <w:tc>
          <w:tcPr>
            <w:tcW w:w="9639" w:type="dxa"/>
            <w:shd w:val="clear" w:color="auto" w:fill="DAEEF3" w:themeFill="accent5" w:themeFillTint="33"/>
          </w:tcPr>
          <w:p w:rsidR="001D3B0D" w:rsidRPr="004A68C4" w:rsidRDefault="0002054B" w:rsidP="003A2448">
            <w:pPr>
              <w:autoSpaceDE w:val="0"/>
              <w:spacing w:before="120" w:line="240" w:lineRule="auto"/>
              <w:jc w:val="center"/>
              <w:rPr>
                <w:b/>
                <w:color w:val="17365D" w:themeColor="text2" w:themeShade="BF"/>
                <w:sz w:val="28"/>
                <w:szCs w:val="28"/>
              </w:rPr>
            </w:pPr>
            <w:r w:rsidRPr="004A68C4">
              <w:rPr>
                <w:b/>
                <w:color w:val="17365D" w:themeColor="text2" w:themeShade="BF"/>
                <w:sz w:val="28"/>
                <w:szCs w:val="28"/>
              </w:rPr>
              <w:t xml:space="preserve">Aus dem Programm für </w:t>
            </w:r>
            <w:r w:rsidR="001D3B0D" w:rsidRPr="004A68C4">
              <w:rPr>
                <w:b/>
                <w:color w:val="17365D" w:themeColor="text2" w:themeShade="BF"/>
                <w:sz w:val="28"/>
                <w:szCs w:val="28"/>
              </w:rPr>
              <w:t xml:space="preserve">EPDs (Environmental </w:t>
            </w:r>
            <w:proofErr w:type="spellStart"/>
            <w:r w:rsidR="001D3B0D" w:rsidRPr="004A68C4">
              <w:rPr>
                <w:b/>
                <w:color w:val="17365D" w:themeColor="text2" w:themeShade="BF"/>
                <w:sz w:val="28"/>
                <w:szCs w:val="28"/>
              </w:rPr>
              <w:t>Product</w:t>
            </w:r>
            <w:proofErr w:type="spellEnd"/>
            <w:r w:rsidR="001D3B0D" w:rsidRPr="004A68C4">
              <w:rPr>
                <w:b/>
                <w:color w:val="17365D" w:themeColor="text2" w:themeShade="BF"/>
                <w:sz w:val="28"/>
                <w:szCs w:val="28"/>
              </w:rPr>
              <w:t xml:space="preserve"> </w:t>
            </w:r>
            <w:proofErr w:type="spellStart"/>
            <w:r w:rsidR="001D3B0D" w:rsidRPr="004A68C4">
              <w:rPr>
                <w:b/>
                <w:color w:val="17365D" w:themeColor="text2" w:themeShade="BF"/>
                <w:sz w:val="28"/>
                <w:szCs w:val="28"/>
              </w:rPr>
              <w:t>Declarations</w:t>
            </w:r>
            <w:proofErr w:type="spellEnd"/>
            <w:r w:rsidR="001D3B0D" w:rsidRPr="004A68C4">
              <w:rPr>
                <w:b/>
                <w:color w:val="17365D" w:themeColor="text2" w:themeShade="BF"/>
                <w:sz w:val="28"/>
                <w:szCs w:val="28"/>
              </w:rPr>
              <w:t>)</w:t>
            </w:r>
          </w:p>
          <w:p w:rsidR="001D3B0D" w:rsidRPr="004A68C4" w:rsidRDefault="001D3B0D" w:rsidP="003A2448">
            <w:pPr>
              <w:autoSpaceDE w:val="0"/>
              <w:spacing w:before="120" w:line="240" w:lineRule="auto"/>
              <w:jc w:val="center"/>
              <w:rPr>
                <w:b/>
                <w:color w:val="17365D" w:themeColor="text2" w:themeShade="BF"/>
                <w:sz w:val="40"/>
                <w:szCs w:val="40"/>
              </w:rPr>
            </w:pPr>
            <w:r w:rsidRPr="004A68C4">
              <w:rPr>
                <w:b/>
                <w:color w:val="17365D" w:themeColor="text2" w:themeShade="BF"/>
                <w:sz w:val="28"/>
                <w:szCs w:val="28"/>
              </w:rPr>
              <w:t>der Bau</w:t>
            </w:r>
            <w:r w:rsidR="00264EB9" w:rsidRPr="004A68C4">
              <w:rPr>
                <w:b/>
                <w:color w:val="17365D" w:themeColor="text2" w:themeShade="BF"/>
                <w:sz w:val="28"/>
                <w:szCs w:val="28"/>
              </w:rPr>
              <w:t xml:space="preserve"> </w:t>
            </w:r>
            <w:r w:rsidRPr="004A68C4">
              <w:rPr>
                <w:b/>
                <w:color w:val="17365D" w:themeColor="text2" w:themeShade="BF"/>
                <w:sz w:val="28"/>
                <w:szCs w:val="28"/>
              </w:rPr>
              <w:t>EPD GmbH</w:t>
            </w:r>
          </w:p>
        </w:tc>
      </w:tr>
      <w:tr w:rsidR="001D66C3" w:rsidRPr="004A68C4" w:rsidTr="002A30AB">
        <w:trPr>
          <w:trHeight w:val="1637"/>
        </w:trPr>
        <w:tc>
          <w:tcPr>
            <w:tcW w:w="9639" w:type="dxa"/>
            <w:shd w:val="clear" w:color="auto" w:fill="DAEEF3" w:themeFill="accent5" w:themeFillTint="33"/>
          </w:tcPr>
          <w:p w:rsidR="001D3B0D" w:rsidRPr="004A68C4" w:rsidRDefault="001D3B0D" w:rsidP="00FB5D78">
            <w:pPr>
              <w:rPr>
                <w:color w:val="17365D" w:themeColor="text2" w:themeShade="BF"/>
              </w:rPr>
            </w:pPr>
          </w:p>
          <w:p w:rsidR="001D3B0D" w:rsidRPr="004A68C4" w:rsidRDefault="003E0648" w:rsidP="00FB5D78">
            <w:pPr>
              <w:rPr>
                <w:color w:val="17365D" w:themeColor="text2" w:themeShade="BF"/>
              </w:rPr>
            </w:pPr>
            <w:r w:rsidRPr="004A68C4">
              <w:rPr>
                <w:noProof/>
                <w:color w:val="17365D" w:themeColor="text2" w:themeShade="BF"/>
                <w:lang w:val="de-AT" w:eastAsia="de-AT"/>
              </w:rPr>
              <w:drawing>
                <wp:anchor distT="0" distB="0" distL="114300" distR="114300" simplePos="0" relativeHeight="251658240" behindDoc="0" locked="0" layoutInCell="1" allowOverlap="1" wp14:anchorId="742BC34F" wp14:editId="4DF09912">
                  <wp:simplePos x="0" y="0"/>
                  <wp:positionH relativeFrom="column">
                    <wp:posOffset>1472841</wp:posOffset>
                  </wp:positionH>
                  <wp:positionV relativeFrom="paragraph">
                    <wp:posOffset>166977</wp:posOffset>
                  </wp:positionV>
                  <wp:extent cx="2954738" cy="826936"/>
                  <wp:effectExtent l="19050" t="0" r="0" b="0"/>
                  <wp:wrapNone/>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54738" cy="826936"/>
                          </a:xfrm>
                          <a:prstGeom prst="rect">
                            <a:avLst/>
                          </a:prstGeom>
                          <a:noFill/>
                          <a:ln w="9525">
                            <a:noFill/>
                            <a:miter lim="800000"/>
                            <a:headEnd/>
                            <a:tailEnd/>
                          </a:ln>
                        </pic:spPr>
                      </pic:pic>
                    </a:graphicData>
                  </a:graphic>
                </wp:anchor>
              </w:drawing>
            </w:r>
          </w:p>
        </w:tc>
      </w:tr>
      <w:tr w:rsidR="001D66C3" w:rsidRPr="004A68C4" w:rsidTr="002A30AB">
        <w:trPr>
          <w:trHeight w:val="1771"/>
        </w:trPr>
        <w:tc>
          <w:tcPr>
            <w:tcW w:w="9639" w:type="dxa"/>
            <w:shd w:val="clear" w:color="auto" w:fill="DAEEF3" w:themeFill="accent5" w:themeFillTint="33"/>
            <w:vAlign w:val="bottom"/>
          </w:tcPr>
          <w:p w:rsidR="003E0648" w:rsidRPr="004A68C4"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rsidR="003E0648" w:rsidRPr="004A68C4"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rPr>
            </w:pPr>
            <w:r w:rsidRPr="004A68C4">
              <w:rPr>
                <w:rFonts w:cs="Times New Roman"/>
                <w:b/>
                <w:color w:val="17365D" w:themeColor="text2" w:themeShade="BF"/>
                <w:sz w:val="20"/>
                <w:szCs w:val="40"/>
              </w:rPr>
              <w:t>www.bau-epd.at</w:t>
            </w:r>
          </w:p>
          <w:p w:rsidR="003E0648" w:rsidRPr="004A68C4"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rsidR="001D3B0D" w:rsidRPr="004A68C4" w:rsidRDefault="0002054B" w:rsidP="003A2448">
            <w:pPr>
              <w:tabs>
                <w:tab w:val="left" w:pos="2477"/>
              </w:tabs>
              <w:autoSpaceDE w:val="0"/>
              <w:autoSpaceDN w:val="0"/>
              <w:adjustRightInd w:val="0"/>
              <w:spacing w:before="60" w:line="240" w:lineRule="auto"/>
              <w:jc w:val="center"/>
              <w:rPr>
                <w:rFonts w:cs="Times New Roman"/>
                <w:b/>
                <w:color w:val="17365D" w:themeColor="text2" w:themeShade="BF"/>
                <w:sz w:val="36"/>
                <w:szCs w:val="36"/>
              </w:rPr>
            </w:pPr>
            <w:r w:rsidRPr="004A68C4">
              <w:rPr>
                <w:rFonts w:cs="Times New Roman"/>
                <w:b/>
                <w:color w:val="17365D" w:themeColor="text2" w:themeShade="BF"/>
                <w:sz w:val="36"/>
                <w:szCs w:val="36"/>
              </w:rPr>
              <w:t>Teil B: Anforderungen an die EPD für</w:t>
            </w:r>
          </w:p>
          <w:p w:rsidR="001D3B0D" w:rsidRPr="004A68C4" w:rsidRDefault="001D3B0D"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rsidR="002D0A88" w:rsidRPr="003A2448" w:rsidRDefault="00350CC4" w:rsidP="002D0A88">
            <w:pPr>
              <w:jc w:val="center"/>
              <w:rPr>
                <w:b/>
                <w:noProof/>
                <w:color w:val="17365D" w:themeColor="text2" w:themeShade="BF"/>
                <w:sz w:val="40"/>
                <w:szCs w:val="40"/>
              </w:rPr>
            </w:pPr>
            <w:r w:rsidRPr="00350CC4">
              <w:rPr>
                <w:rFonts w:cs="Times New Roman"/>
                <w:b/>
                <w:color w:val="17365D" w:themeColor="text2" w:themeShade="BF"/>
                <w:sz w:val="40"/>
                <w:szCs w:val="36"/>
              </w:rPr>
              <w:t>Dämmstoffe aus nachwachsenden Rohstoffen</w:t>
            </w:r>
            <w:r w:rsidR="002D0A88">
              <w:rPr>
                <w:b/>
                <w:noProof/>
                <w:color w:val="17365D" w:themeColor="text2" w:themeShade="BF"/>
                <w:sz w:val="40"/>
                <w:szCs w:val="40"/>
              </w:rPr>
              <w:t xml:space="preserve"> </w:t>
            </w:r>
          </w:p>
          <w:p w:rsidR="002D0A88" w:rsidRDefault="002D0A88" w:rsidP="002D0A88"/>
          <w:p w:rsidR="002D0A88" w:rsidRDefault="002D0A88" w:rsidP="002D0A88">
            <w:pPr>
              <w:jc w:val="center"/>
              <w:rPr>
                <w:color w:val="17365D" w:themeColor="text2" w:themeShade="BF"/>
                <w:sz w:val="24"/>
                <w:szCs w:val="24"/>
              </w:rPr>
            </w:pPr>
            <w:r w:rsidRPr="002D0A88">
              <w:rPr>
                <w:color w:val="002060"/>
                <w:sz w:val="24"/>
                <w:szCs w:val="24"/>
              </w:rPr>
              <w:t>PCR-Code: 2.22.</w:t>
            </w:r>
            <w:r w:rsidR="00350CC4">
              <w:rPr>
                <w:color w:val="002060"/>
                <w:sz w:val="24"/>
                <w:szCs w:val="24"/>
              </w:rPr>
              <w:t>5</w:t>
            </w:r>
            <w:r w:rsidRPr="002D0A88">
              <w:rPr>
                <w:color w:val="002060"/>
                <w:sz w:val="24"/>
                <w:szCs w:val="24"/>
              </w:rPr>
              <w:tab/>
              <w:t xml:space="preserve"> </w:t>
            </w:r>
            <w:r w:rsidRPr="002D0A88">
              <w:rPr>
                <w:color w:val="002060"/>
                <w:sz w:val="24"/>
                <w:szCs w:val="24"/>
              </w:rPr>
              <w:tab/>
            </w:r>
            <w:r w:rsidRPr="002D0A88">
              <w:rPr>
                <w:color w:val="17365D" w:themeColor="text2" w:themeShade="BF"/>
                <w:sz w:val="24"/>
                <w:szCs w:val="24"/>
              </w:rPr>
              <w:t xml:space="preserve">Entwurf Stand </w:t>
            </w:r>
            <w:r w:rsidR="003853FB">
              <w:rPr>
                <w:color w:val="17365D" w:themeColor="text2" w:themeShade="BF"/>
                <w:sz w:val="24"/>
                <w:szCs w:val="24"/>
              </w:rPr>
              <w:t>25</w:t>
            </w:r>
            <w:r w:rsidRPr="002D0A88">
              <w:rPr>
                <w:color w:val="17365D" w:themeColor="text2" w:themeShade="BF"/>
                <w:sz w:val="24"/>
                <w:szCs w:val="24"/>
              </w:rPr>
              <w:t>.0</w:t>
            </w:r>
            <w:r w:rsidR="00350CC4">
              <w:rPr>
                <w:color w:val="17365D" w:themeColor="text2" w:themeShade="BF"/>
                <w:sz w:val="24"/>
                <w:szCs w:val="24"/>
              </w:rPr>
              <w:t>6</w:t>
            </w:r>
            <w:r w:rsidRPr="002D0A88">
              <w:rPr>
                <w:color w:val="17365D" w:themeColor="text2" w:themeShade="BF"/>
                <w:sz w:val="24"/>
                <w:szCs w:val="24"/>
              </w:rPr>
              <w:t>.2014</w:t>
            </w:r>
          </w:p>
          <w:p w:rsidR="001D3B0D" w:rsidRPr="004A68C4" w:rsidRDefault="001D3B0D"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tc>
      </w:tr>
    </w:tbl>
    <w:p w:rsidR="001D3B0D" w:rsidRDefault="00790E1D" w:rsidP="002D0A88">
      <w:pPr>
        <w:tabs>
          <w:tab w:val="left" w:pos="2477"/>
        </w:tabs>
        <w:autoSpaceDE w:val="0"/>
        <w:autoSpaceDN w:val="0"/>
        <w:adjustRightInd w:val="0"/>
        <w:spacing w:before="60" w:line="240" w:lineRule="auto"/>
      </w:pPr>
      <w:r>
        <w:rPr>
          <w:rFonts w:cs="Times New Roman"/>
          <w:b/>
          <w:noProof/>
          <w:color w:val="17365D" w:themeColor="text2" w:themeShade="BF"/>
          <w:sz w:val="20"/>
          <w:szCs w:val="40"/>
          <w:lang w:val="de-AT" w:eastAsia="de-AT"/>
        </w:rPr>
        <mc:AlternateContent>
          <mc:Choice Requires="wps">
            <w:drawing>
              <wp:anchor distT="0" distB="0" distL="114300" distR="114300" simplePos="0" relativeHeight="251654144" behindDoc="1" locked="0" layoutInCell="1" allowOverlap="1" wp14:anchorId="222D2C9F" wp14:editId="3A158483">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826F6" id="Rectangle 13" o:spid="_x0000_s1026" style="position:absolute;margin-left:-83pt;margin-top:-21pt;width:655.1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" fillcolor="#8db3e2 [1311]" stroked="f" strokecolor="blue" strokeweight="1.5pt">
                <v:shadow opacity="22938f" offset="0"/>
                <w10:wrap anchory="page"/>
              </v:rect>
            </w:pict>
          </mc:Fallback>
        </mc:AlternateContent>
      </w:r>
    </w:p>
    <w:p w:rsidR="001D3B0D" w:rsidRDefault="001D3B0D" w:rsidP="00FB5D78"/>
    <w:p w:rsidR="001D3B0D" w:rsidRDefault="00350CC4" w:rsidP="00FB5D78">
      <w:r>
        <w:rPr>
          <w:noProof/>
          <w:lang w:val="de-AT" w:eastAsia="de-AT"/>
        </w:rPr>
        <w:drawing>
          <wp:anchor distT="0" distB="0" distL="114300" distR="114300" simplePos="0" relativeHeight="251660288" behindDoc="0" locked="0" layoutInCell="1" allowOverlap="1" wp14:anchorId="66896AA2" wp14:editId="40CCA8E9">
            <wp:simplePos x="0" y="0"/>
            <wp:positionH relativeFrom="margin">
              <wp:align>right</wp:align>
            </wp:positionH>
            <wp:positionV relativeFrom="paragraph">
              <wp:posOffset>107315</wp:posOffset>
            </wp:positionV>
            <wp:extent cx="6148773" cy="3860800"/>
            <wp:effectExtent l="0" t="0" r="4445"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48773" cy="3860800"/>
                    </a:xfrm>
                    <a:prstGeom prst="rect">
                      <a:avLst/>
                    </a:prstGeom>
                  </pic:spPr>
                </pic:pic>
              </a:graphicData>
            </a:graphic>
            <wp14:sizeRelH relativeFrom="page">
              <wp14:pctWidth>0</wp14:pctWidth>
            </wp14:sizeRelH>
            <wp14:sizeRelV relativeFrom="page">
              <wp14:pctHeight>0</wp14:pctHeight>
            </wp14:sizeRelV>
          </wp:anchor>
        </w:drawing>
      </w:r>
    </w:p>
    <w:p w:rsidR="001D3B0D" w:rsidRDefault="001D3B0D" w:rsidP="00FB5D78"/>
    <w:p w:rsidR="001D3B0D" w:rsidRDefault="001D3B0D" w:rsidP="00FB5D78"/>
    <w:p w:rsidR="001D3B0D" w:rsidRDefault="001D3B0D" w:rsidP="00FB5D78"/>
    <w:p w:rsidR="001D3B0D" w:rsidRDefault="001D3B0D" w:rsidP="00FB5D78"/>
    <w:p w:rsidR="001D3B0D" w:rsidRDefault="001D3B0D" w:rsidP="00FB5D78"/>
    <w:p w:rsidR="001D3B0D" w:rsidRDefault="001D3B0D" w:rsidP="00FB5D78"/>
    <w:p w:rsidR="001D3B0D" w:rsidRDefault="001D3B0D" w:rsidP="00FB5D78"/>
    <w:p w:rsidR="001D3B0D" w:rsidRDefault="001D3B0D" w:rsidP="00FB5D78"/>
    <w:p w:rsidR="001D3B0D" w:rsidRDefault="001D3B0D" w:rsidP="00FB5D78"/>
    <w:p w:rsidR="001D3B0D" w:rsidRPr="000E5A20" w:rsidRDefault="001D3B0D" w:rsidP="00FB5D78"/>
    <w:p w:rsidR="001D3B0D" w:rsidRPr="00026074" w:rsidRDefault="001D3B0D" w:rsidP="001D3B0D">
      <w:pPr>
        <w:spacing w:line="240" w:lineRule="auto"/>
        <w:jc w:val="left"/>
        <w:rPr>
          <w:rFonts w:ascii="Calibri" w:hAnsi="Calibri" w:cs="Calibri"/>
          <w:b/>
          <w:sz w:val="22"/>
        </w:rPr>
      </w:pPr>
    </w:p>
    <w:p w:rsidR="001D3B0D" w:rsidRDefault="001D3B0D"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3A2448" w:rsidRDefault="003A2448" w:rsidP="001D3B0D">
      <w:pPr>
        <w:spacing w:line="240" w:lineRule="auto"/>
        <w:jc w:val="left"/>
      </w:pPr>
    </w:p>
    <w:p w:rsidR="00E33F5E" w:rsidRDefault="00E33F5E" w:rsidP="00E33F5E">
      <w:pPr>
        <w:pStyle w:val="Standa"/>
        <w:spacing w:line="240" w:lineRule="auto"/>
        <w:jc w:val="left"/>
        <w:rPr>
          <w:b/>
          <w:color w:val="002060"/>
          <w:sz w:val="22"/>
          <w:szCs w:val="22"/>
        </w:rPr>
      </w:pPr>
    </w:p>
    <w:p w:rsidR="00E33F5E" w:rsidRDefault="00E33F5E" w:rsidP="00E33F5E">
      <w:pPr>
        <w:pStyle w:val="Standa"/>
        <w:spacing w:line="240" w:lineRule="auto"/>
        <w:jc w:val="left"/>
        <w:rPr>
          <w:b/>
          <w:color w:val="002060"/>
          <w:sz w:val="22"/>
          <w:szCs w:val="22"/>
        </w:rPr>
      </w:pPr>
    </w:p>
    <w:p w:rsidR="00E33F5E" w:rsidRDefault="00E33F5E" w:rsidP="00E33F5E">
      <w:pPr>
        <w:pStyle w:val="Standa"/>
        <w:spacing w:line="240" w:lineRule="auto"/>
        <w:jc w:val="left"/>
        <w:rPr>
          <w:b/>
          <w:color w:val="002060"/>
          <w:sz w:val="22"/>
          <w:szCs w:val="22"/>
        </w:rPr>
      </w:pPr>
      <w:r>
        <w:rPr>
          <w:b/>
          <w:color w:val="002060"/>
          <w:sz w:val="22"/>
          <w:szCs w:val="22"/>
        </w:rPr>
        <w:t>Impressum</w:t>
      </w:r>
    </w:p>
    <w:p w:rsidR="00E33F5E" w:rsidRDefault="00E33F5E" w:rsidP="00E33F5E">
      <w:pPr>
        <w:pStyle w:val="Standa"/>
        <w:spacing w:line="240" w:lineRule="auto"/>
        <w:jc w:val="left"/>
        <w:rPr>
          <w:color w:val="002060"/>
          <w:sz w:val="22"/>
        </w:rPr>
      </w:pPr>
    </w:p>
    <w:p w:rsidR="002D0A88" w:rsidRPr="002D0A88" w:rsidRDefault="002D0A88" w:rsidP="002D0A88">
      <w:pPr>
        <w:rPr>
          <w:b/>
          <w:color w:val="002060"/>
          <w:sz w:val="22"/>
        </w:rPr>
      </w:pPr>
      <w:r w:rsidRPr="002D0A88">
        <w:rPr>
          <w:b/>
          <w:color w:val="002060"/>
          <w:sz w:val="22"/>
        </w:rPr>
        <w:t>Herausgeber:</w:t>
      </w:r>
    </w:p>
    <w:p w:rsidR="002D0A88" w:rsidRPr="0064786C" w:rsidRDefault="002D0A88" w:rsidP="002D0A88">
      <w:pPr>
        <w:rPr>
          <w:color w:val="002060"/>
          <w:sz w:val="22"/>
        </w:rPr>
      </w:pPr>
    </w:p>
    <w:p w:rsidR="002D0A88" w:rsidRPr="0064786C" w:rsidRDefault="002D0A88" w:rsidP="002D0A88">
      <w:pPr>
        <w:rPr>
          <w:color w:val="002060"/>
          <w:sz w:val="22"/>
        </w:rPr>
      </w:pPr>
      <w:r w:rsidRPr="0064786C">
        <w:rPr>
          <w:color w:val="002060"/>
          <w:sz w:val="22"/>
        </w:rPr>
        <w:t>Bau EPD GmbH</w:t>
      </w:r>
    </w:p>
    <w:p w:rsidR="002D0A88" w:rsidRPr="0064786C" w:rsidRDefault="002D0A88" w:rsidP="002D0A88">
      <w:pPr>
        <w:rPr>
          <w:color w:val="002060"/>
          <w:sz w:val="20"/>
        </w:rPr>
      </w:pPr>
    </w:p>
    <w:p w:rsidR="002D0A88" w:rsidRPr="0064786C" w:rsidRDefault="002D0A88" w:rsidP="002D0A88">
      <w:pPr>
        <w:rPr>
          <w:color w:val="002060"/>
          <w:sz w:val="20"/>
        </w:rPr>
      </w:pPr>
      <w:r w:rsidRPr="0064786C">
        <w:rPr>
          <w:color w:val="002060"/>
          <w:sz w:val="20"/>
        </w:rPr>
        <w:t>Seidengasse 13/3</w:t>
      </w:r>
    </w:p>
    <w:p w:rsidR="002D0A88" w:rsidRPr="00F15CC0" w:rsidRDefault="002D0A88" w:rsidP="002D0A88">
      <w:pPr>
        <w:rPr>
          <w:color w:val="002060"/>
          <w:sz w:val="20"/>
          <w:lang w:val="en-GB"/>
        </w:rPr>
      </w:pPr>
      <w:r w:rsidRPr="00F15CC0">
        <w:rPr>
          <w:color w:val="002060"/>
          <w:sz w:val="20"/>
          <w:lang w:val="en-GB"/>
        </w:rPr>
        <w:t>A-1070 Wien</w:t>
      </w:r>
    </w:p>
    <w:p w:rsidR="002D0A88" w:rsidRPr="00F15CC0" w:rsidRDefault="002D0A88" w:rsidP="002D0A88">
      <w:pPr>
        <w:rPr>
          <w:color w:val="002060"/>
          <w:sz w:val="20"/>
          <w:lang w:val="en-GB"/>
        </w:rPr>
      </w:pPr>
    </w:p>
    <w:p w:rsidR="002D0A88" w:rsidRPr="00F15CC0" w:rsidRDefault="00380BCC" w:rsidP="002D0A88">
      <w:pPr>
        <w:rPr>
          <w:color w:val="002060"/>
          <w:sz w:val="20"/>
          <w:lang w:val="en-GB"/>
        </w:rPr>
      </w:pPr>
      <w:hyperlink r:id="rId10" w:history="1">
        <w:r w:rsidR="002D0A88" w:rsidRPr="00F15CC0">
          <w:rPr>
            <w:rStyle w:val="Hyperlink"/>
            <w:color w:val="002060"/>
            <w:sz w:val="20"/>
            <w:lang w:val="en-GB"/>
          </w:rPr>
          <w:t>http://www.bau-epd.at</w:t>
        </w:r>
      </w:hyperlink>
      <w:r w:rsidR="002D0A88" w:rsidRPr="00F15CC0">
        <w:rPr>
          <w:color w:val="002060"/>
          <w:sz w:val="20"/>
          <w:lang w:val="en-GB"/>
        </w:rPr>
        <w:t xml:space="preserve"> </w:t>
      </w:r>
    </w:p>
    <w:p w:rsidR="002D0A88" w:rsidRPr="0064786C" w:rsidRDefault="002D0A88" w:rsidP="002D0A88">
      <w:pPr>
        <w:rPr>
          <w:color w:val="002060"/>
          <w:sz w:val="20"/>
          <w:lang w:val="de-AT"/>
        </w:rPr>
      </w:pPr>
      <w:r w:rsidRPr="0064786C">
        <w:rPr>
          <w:color w:val="002060"/>
          <w:sz w:val="20"/>
          <w:lang w:val="de-AT"/>
        </w:rPr>
        <w:t>office@bau-epd.at</w:t>
      </w:r>
    </w:p>
    <w:p w:rsidR="002D0A88" w:rsidRPr="0064786C" w:rsidRDefault="002D0A88" w:rsidP="002D0A88">
      <w:pPr>
        <w:rPr>
          <w:color w:val="002060"/>
          <w:sz w:val="20"/>
          <w:lang w:val="de-AT"/>
        </w:rPr>
      </w:pPr>
    </w:p>
    <w:p w:rsidR="002D0A88" w:rsidRPr="0064786C" w:rsidRDefault="002D0A88" w:rsidP="002D0A88">
      <w:pPr>
        <w:rPr>
          <w:lang w:val="de-AT"/>
        </w:rPr>
      </w:pPr>
    </w:p>
    <w:p w:rsidR="002D0A88" w:rsidRPr="005D6451" w:rsidRDefault="002D0A88" w:rsidP="002D0A88">
      <w:pPr>
        <w:rPr>
          <w:color w:val="002060"/>
          <w:sz w:val="20"/>
          <w:lang w:val="de-AT"/>
        </w:rPr>
      </w:pPr>
      <w:r w:rsidRPr="005D6451">
        <w:rPr>
          <w:color w:val="002060"/>
          <w:sz w:val="20"/>
          <w:lang w:val="de-AT"/>
        </w:rPr>
        <w:t xml:space="preserve">Bildnachweis Titelbild: </w:t>
      </w:r>
      <w:proofErr w:type="spellStart"/>
      <w:r w:rsidR="00350CC4">
        <w:rPr>
          <w:color w:val="002060"/>
          <w:sz w:val="20"/>
          <w:lang w:val="de-AT"/>
        </w:rPr>
        <w:t>Fasba</w:t>
      </w:r>
      <w:proofErr w:type="spellEnd"/>
      <w:r w:rsidR="00350CC4">
        <w:rPr>
          <w:color w:val="002060"/>
          <w:sz w:val="20"/>
          <w:lang w:val="de-AT"/>
        </w:rPr>
        <w:t xml:space="preserve"> Verband, Deutschland</w:t>
      </w:r>
    </w:p>
    <w:p w:rsidR="002D0A88" w:rsidRPr="0064786C" w:rsidRDefault="002D0A88" w:rsidP="002D0A88">
      <w:pPr>
        <w:rPr>
          <w:lang w:val="de-AT"/>
        </w:rPr>
      </w:pPr>
    </w:p>
    <w:p w:rsidR="00E33F5E" w:rsidRPr="00076090" w:rsidRDefault="00E33F5E" w:rsidP="00FB5D78">
      <w:pPr>
        <w:rPr>
          <w:lang w:val="de-AT"/>
        </w:rPr>
      </w:pPr>
    </w:p>
    <w:p w:rsidR="00E33F5E" w:rsidRPr="00076090" w:rsidRDefault="00E33F5E" w:rsidP="00FB5D78">
      <w:pPr>
        <w:rPr>
          <w:lang w:val="de-AT"/>
        </w:rPr>
      </w:pPr>
    </w:p>
    <w:p w:rsidR="00E33F5E" w:rsidRPr="00076090" w:rsidRDefault="00E33F5E" w:rsidP="00FB5D78">
      <w:pPr>
        <w:rPr>
          <w:lang w:val="de-AT"/>
        </w:rPr>
      </w:pPr>
    </w:p>
    <w:p w:rsidR="001D3B0D" w:rsidRPr="00076090" w:rsidRDefault="001D3B0D" w:rsidP="001D3B0D">
      <w:pPr>
        <w:spacing w:line="360" w:lineRule="auto"/>
        <w:jc w:val="left"/>
        <w:rPr>
          <w:b/>
          <w:lang w:val="de-AT"/>
        </w:rPr>
      </w:pPr>
    </w:p>
    <w:p w:rsidR="009A7FDC" w:rsidRPr="00076090" w:rsidRDefault="009A7FDC">
      <w:pPr>
        <w:spacing w:after="200"/>
        <w:jc w:val="left"/>
        <w:rPr>
          <w:b/>
          <w:color w:val="002060"/>
          <w:lang w:val="de-AT"/>
        </w:rPr>
      </w:pPr>
    </w:p>
    <w:p w:rsidR="001D3B0D" w:rsidRPr="00E33F5E" w:rsidRDefault="0002054B" w:rsidP="001D3B0D">
      <w:pPr>
        <w:spacing w:after="120" w:line="240" w:lineRule="auto"/>
        <w:jc w:val="left"/>
        <w:rPr>
          <w:b/>
          <w:color w:val="002060"/>
          <w:sz w:val="22"/>
        </w:rPr>
      </w:pPr>
      <w:r w:rsidRPr="00E33F5E">
        <w:rPr>
          <w:b/>
          <w:color w:val="002060"/>
          <w:sz w:val="22"/>
        </w:rPr>
        <w:t>Nachverfolgung der Versionen</w:t>
      </w:r>
    </w:p>
    <w:tbl>
      <w:tblPr>
        <w:tblStyle w:val="HelleListe1"/>
        <w:tblW w:w="0" w:type="auto"/>
        <w:tblInd w:w="142" w:type="dxa"/>
        <w:tblLayout w:type="fixed"/>
        <w:tblLook w:val="00A0" w:firstRow="1" w:lastRow="0" w:firstColumn="1" w:lastColumn="0" w:noHBand="0" w:noVBand="0"/>
      </w:tblPr>
      <w:tblGrid>
        <w:gridCol w:w="959"/>
        <w:gridCol w:w="6378"/>
        <w:gridCol w:w="1276"/>
      </w:tblGrid>
      <w:tr w:rsidR="001D66C3" w:rsidRPr="00CD0364" w:rsidTr="00E540D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bottom w:val="single" w:sz="8" w:space="0" w:color="000000" w:themeColor="text1"/>
            </w:tcBorders>
            <w:shd w:val="clear" w:color="auto" w:fill="8DB3E2" w:themeFill="text2" w:themeFillTint="66"/>
            <w:vAlign w:val="center"/>
          </w:tcPr>
          <w:p w:rsidR="001D3B0D" w:rsidRPr="00E540D5" w:rsidRDefault="0002054B" w:rsidP="00CD0364">
            <w:pPr>
              <w:jc w:val="left"/>
              <w:rPr>
                <w:color w:val="auto"/>
              </w:rPr>
            </w:pPr>
            <w:r w:rsidRPr="00E540D5">
              <w:rPr>
                <w:color w:val="auto"/>
              </w:rPr>
              <w:t>Version</w:t>
            </w:r>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rsidR="001D3B0D" w:rsidRPr="00E540D5" w:rsidRDefault="0002054B" w:rsidP="00CD0364">
            <w:pPr>
              <w:jc w:val="left"/>
              <w:rPr>
                <w:color w:val="auto"/>
              </w:rPr>
            </w:pPr>
            <w:r w:rsidRPr="00E540D5">
              <w:rPr>
                <w:color w:val="auto"/>
              </w:rPr>
              <w:t>Kommentar</w:t>
            </w:r>
          </w:p>
        </w:tc>
        <w:tc>
          <w:tcPr>
            <w:tcW w:w="1276" w:type="dxa"/>
            <w:tcBorders>
              <w:top w:val="single" w:sz="8" w:space="0" w:color="000000" w:themeColor="text1"/>
              <w:bottom w:val="single" w:sz="8" w:space="0" w:color="000000" w:themeColor="text1"/>
            </w:tcBorders>
            <w:shd w:val="clear" w:color="auto" w:fill="8DB3E2" w:themeFill="text2" w:themeFillTint="66"/>
            <w:vAlign w:val="center"/>
          </w:tcPr>
          <w:p w:rsidR="001D3B0D" w:rsidRPr="00E540D5" w:rsidRDefault="0002054B" w:rsidP="00CD0364">
            <w:pPr>
              <w:jc w:val="center"/>
              <w:cnfStyle w:val="100000000000" w:firstRow="1" w:lastRow="0" w:firstColumn="0" w:lastColumn="0" w:oddVBand="0" w:evenVBand="0" w:oddHBand="0" w:evenHBand="0" w:firstRowFirstColumn="0" w:firstRowLastColumn="0" w:lastRowFirstColumn="0" w:lastRowLastColumn="0"/>
              <w:rPr>
                <w:color w:val="auto"/>
              </w:rPr>
            </w:pPr>
            <w:r w:rsidRPr="00E540D5">
              <w:rPr>
                <w:color w:val="auto"/>
              </w:rPr>
              <w:t>Stand</w:t>
            </w:r>
          </w:p>
        </w:tc>
      </w:tr>
      <w:tr w:rsidR="00D74430" w:rsidRPr="00CF07A7" w:rsidTr="00656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74430" w:rsidRPr="00AB475E" w:rsidRDefault="00D74430" w:rsidP="00AE27DC">
            <w:pPr>
              <w:jc w:val="left"/>
              <w:rPr>
                <w:sz w:val="16"/>
                <w:szCs w:val="16"/>
              </w:rPr>
            </w:pPr>
            <w:r>
              <w:rPr>
                <w:sz w:val="16"/>
                <w:szCs w:val="16"/>
              </w:rPr>
              <w:t>V 0.</w:t>
            </w:r>
            <w:r w:rsidR="00AE27DC">
              <w:rPr>
                <w:sz w:val="16"/>
                <w:szCs w:val="16"/>
              </w:rPr>
              <w:t>1</w:t>
            </w:r>
          </w:p>
        </w:tc>
        <w:tc>
          <w:tcPr>
            <w:cnfStyle w:val="000010000000" w:firstRow="0" w:lastRow="0" w:firstColumn="0" w:lastColumn="0" w:oddVBand="1" w:evenVBand="0" w:oddHBand="0" w:evenHBand="0" w:firstRowFirstColumn="0" w:firstRowLastColumn="0" w:lastRowFirstColumn="0" w:lastRowLastColumn="0"/>
            <w:tcW w:w="6378" w:type="dxa"/>
          </w:tcPr>
          <w:p w:rsidR="00D74430" w:rsidRPr="00FB5D78" w:rsidRDefault="00AE27DC" w:rsidP="00D74430">
            <w:pPr>
              <w:jc w:val="left"/>
              <w:rPr>
                <w:sz w:val="16"/>
                <w:szCs w:val="16"/>
              </w:rPr>
            </w:pPr>
            <w:r>
              <w:rPr>
                <w:sz w:val="16"/>
                <w:szCs w:val="16"/>
              </w:rPr>
              <w:t>Finaler Entwurf des PGF „Zellulosefaser-Dämmstoffe“ für die PKR-Prüfung</w:t>
            </w:r>
          </w:p>
        </w:tc>
        <w:tc>
          <w:tcPr>
            <w:tcW w:w="1276" w:type="dxa"/>
            <w:vAlign w:val="center"/>
          </w:tcPr>
          <w:p w:rsidR="00D74430" w:rsidRPr="00D74430" w:rsidRDefault="00AE27DC" w:rsidP="00350CC4">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r w:rsidR="00D74430">
              <w:rPr>
                <w:sz w:val="16"/>
                <w:szCs w:val="16"/>
              </w:rPr>
              <w:t>4</w:t>
            </w:r>
            <w:r w:rsidR="00D74430" w:rsidRPr="00D74430">
              <w:rPr>
                <w:sz w:val="16"/>
                <w:szCs w:val="16"/>
              </w:rPr>
              <w:t>.06.2014</w:t>
            </w:r>
          </w:p>
        </w:tc>
      </w:tr>
      <w:tr w:rsidR="00D74430" w:rsidRPr="00CF07A7" w:rsidTr="0065695B">
        <w:tc>
          <w:tcPr>
            <w:cnfStyle w:val="001000000000" w:firstRow="0" w:lastRow="0" w:firstColumn="1" w:lastColumn="0" w:oddVBand="0" w:evenVBand="0" w:oddHBand="0" w:evenHBand="0" w:firstRowFirstColumn="0" w:firstRowLastColumn="0" w:lastRowFirstColumn="0" w:lastRowLastColumn="0"/>
            <w:tcW w:w="959" w:type="dxa"/>
          </w:tcPr>
          <w:p w:rsidR="00D74430" w:rsidRPr="00AB475E" w:rsidRDefault="00D74430" w:rsidP="00AE27DC">
            <w:pPr>
              <w:jc w:val="left"/>
              <w:rPr>
                <w:sz w:val="16"/>
                <w:szCs w:val="16"/>
              </w:rPr>
            </w:pPr>
            <w:r>
              <w:rPr>
                <w:sz w:val="16"/>
                <w:szCs w:val="16"/>
              </w:rPr>
              <w:t>V 0.</w:t>
            </w:r>
            <w:r w:rsidR="00AE27DC">
              <w:rPr>
                <w:sz w:val="16"/>
                <w:szCs w:val="16"/>
              </w:rPr>
              <w:t>2</w:t>
            </w:r>
          </w:p>
        </w:tc>
        <w:tc>
          <w:tcPr>
            <w:cnfStyle w:val="000010000000" w:firstRow="0" w:lastRow="0" w:firstColumn="0" w:lastColumn="0" w:oddVBand="1" w:evenVBand="0" w:oddHBand="0" w:evenHBand="0" w:firstRowFirstColumn="0" w:firstRowLastColumn="0" w:lastRowFirstColumn="0" w:lastRowLastColumn="0"/>
            <w:tcW w:w="6378" w:type="dxa"/>
          </w:tcPr>
          <w:p w:rsidR="00D74430" w:rsidRPr="00FB5D78" w:rsidRDefault="00D74430" w:rsidP="0065695B">
            <w:pPr>
              <w:jc w:val="left"/>
              <w:rPr>
                <w:sz w:val="16"/>
                <w:szCs w:val="16"/>
              </w:rPr>
            </w:pPr>
            <w:r>
              <w:rPr>
                <w:sz w:val="16"/>
                <w:szCs w:val="16"/>
              </w:rPr>
              <w:t>Finaler Entwurf des PGF „Dämmstoffe aus nachwachsenden Rohstoffen“ für Auflage zu</w:t>
            </w:r>
            <w:r w:rsidR="0065695B">
              <w:rPr>
                <w:sz w:val="16"/>
                <w:szCs w:val="16"/>
              </w:rPr>
              <w:t>r</w:t>
            </w:r>
            <w:r>
              <w:rPr>
                <w:sz w:val="16"/>
                <w:szCs w:val="16"/>
              </w:rPr>
              <w:t xml:space="preserve"> </w:t>
            </w:r>
            <w:r w:rsidR="0065695B">
              <w:rPr>
                <w:sz w:val="16"/>
                <w:szCs w:val="16"/>
              </w:rPr>
              <w:t>Stellungnahme</w:t>
            </w:r>
            <w:r w:rsidR="000D17C8">
              <w:rPr>
                <w:sz w:val="16"/>
                <w:szCs w:val="16"/>
              </w:rPr>
              <w:t xml:space="preserve"> interessierter Kreise</w:t>
            </w:r>
          </w:p>
        </w:tc>
        <w:tc>
          <w:tcPr>
            <w:tcW w:w="1276" w:type="dxa"/>
            <w:vAlign w:val="center"/>
          </w:tcPr>
          <w:p w:rsidR="00D74430" w:rsidRPr="00D74430" w:rsidRDefault="003853FB" w:rsidP="0065695B">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w:t>
            </w:r>
            <w:r w:rsidR="00D74430" w:rsidRPr="00D74430">
              <w:rPr>
                <w:sz w:val="16"/>
                <w:szCs w:val="16"/>
              </w:rPr>
              <w:t>.06.2014</w:t>
            </w:r>
          </w:p>
        </w:tc>
      </w:tr>
      <w:tr w:rsidR="00D74430" w:rsidRPr="00153861" w:rsidTr="0035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center"/>
          </w:tcPr>
          <w:p w:rsidR="00D74430" w:rsidRPr="00FB5D78" w:rsidRDefault="00D74430" w:rsidP="00350CC4">
            <w:pPr>
              <w:jc w:val="left"/>
              <w:rPr>
                <w:sz w:val="16"/>
                <w:szCs w:val="16"/>
                <w:highlight w:val="yellow"/>
              </w:rPr>
            </w:pPr>
          </w:p>
        </w:tc>
        <w:tc>
          <w:tcPr>
            <w:cnfStyle w:val="000010000000" w:firstRow="0" w:lastRow="0" w:firstColumn="0" w:lastColumn="0" w:oddVBand="1" w:evenVBand="0" w:oddHBand="0" w:evenHBand="0" w:firstRowFirstColumn="0" w:firstRowLastColumn="0" w:lastRowFirstColumn="0" w:lastRowLastColumn="0"/>
            <w:tcW w:w="6378" w:type="dxa"/>
          </w:tcPr>
          <w:p w:rsidR="00D74430" w:rsidRPr="00FB5D78" w:rsidRDefault="00D74430" w:rsidP="00350CC4">
            <w:pPr>
              <w:rPr>
                <w:highlight w:val="yellow"/>
              </w:rPr>
            </w:pPr>
          </w:p>
        </w:tc>
        <w:tc>
          <w:tcPr>
            <w:tcW w:w="1276" w:type="dxa"/>
            <w:vAlign w:val="center"/>
          </w:tcPr>
          <w:p w:rsidR="00D74430" w:rsidRPr="00FB5D78" w:rsidRDefault="00D74430" w:rsidP="00350CC4">
            <w:pPr>
              <w:jc w:val="left"/>
              <w:cnfStyle w:val="000000100000" w:firstRow="0" w:lastRow="0" w:firstColumn="0" w:lastColumn="0" w:oddVBand="0" w:evenVBand="0" w:oddHBand="1" w:evenHBand="0" w:firstRowFirstColumn="0" w:firstRowLastColumn="0" w:lastRowFirstColumn="0" w:lastRowLastColumn="0"/>
              <w:rPr>
                <w:sz w:val="16"/>
                <w:szCs w:val="16"/>
                <w:highlight w:val="yellow"/>
              </w:rPr>
            </w:pPr>
          </w:p>
        </w:tc>
      </w:tr>
      <w:tr w:rsidR="00D74430" w:rsidRPr="00153861" w:rsidTr="00350CC4">
        <w:tc>
          <w:tcPr>
            <w:cnfStyle w:val="001000000000" w:firstRow="0" w:lastRow="0" w:firstColumn="1" w:lastColumn="0" w:oddVBand="0" w:evenVBand="0" w:oddHBand="0" w:evenHBand="0" w:firstRowFirstColumn="0" w:firstRowLastColumn="0" w:lastRowFirstColumn="0" w:lastRowLastColumn="0"/>
            <w:tcW w:w="959" w:type="dxa"/>
            <w:vAlign w:val="center"/>
          </w:tcPr>
          <w:p w:rsidR="00D74430" w:rsidRPr="00FB5D78" w:rsidRDefault="00D74430" w:rsidP="00350CC4">
            <w:pPr>
              <w:jc w:val="left"/>
              <w:rPr>
                <w:sz w:val="16"/>
                <w:szCs w:val="16"/>
                <w:highlight w:val="yellow"/>
              </w:rPr>
            </w:pPr>
          </w:p>
        </w:tc>
        <w:tc>
          <w:tcPr>
            <w:cnfStyle w:val="000010000000" w:firstRow="0" w:lastRow="0" w:firstColumn="0" w:lastColumn="0" w:oddVBand="1" w:evenVBand="0" w:oddHBand="0" w:evenHBand="0" w:firstRowFirstColumn="0" w:firstRowLastColumn="0" w:lastRowFirstColumn="0" w:lastRowLastColumn="0"/>
            <w:tcW w:w="6378" w:type="dxa"/>
          </w:tcPr>
          <w:p w:rsidR="00D74430" w:rsidRPr="00FB5D78" w:rsidRDefault="00D74430" w:rsidP="00350CC4">
            <w:pPr>
              <w:rPr>
                <w:highlight w:val="yellow"/>
              </w:rPr>
            </w:pPr>
          </w:p>
        </w:tc>
        <w:tc>
          <w:tcPr>
            <w:tcW w:w="1276" w:type="dxa"/>
            <w:vAlign w:val="center"/>
          </w:tcPr>
          <w:p w:rsidR="00D74430" w:rsidRPr="00FB5D78" w:rsidRDefault="00D74430" w:rsidP="00350CC4">
            <w:pPr>
              <w:jc w:val="left"/>
              <w:cnfStyle w:val="000000000000" w:firstRow="0" w:lastRow="0" w:firstColumn="0" w:lastColumn="0" w:oddVBand="0" w:evenVBand="0" w:oddHBand="0" w:evenHBand="0" w:firstRowFirstColumn="0" w:firstRowLastColumn="0" w:lastRowFirstColumn="0" w:lastRowLastColumn="0"/>
              <w:rPr>
                <w:sz w:val="16"/>
                <w:szCs w:val="16"/>
                <w:highlight w:val="yellow"/>
              </w:rPr>
            </w:pPr>
          </w:p>
        </w:tc>
      </w:tr>
      <w:tr w:rsidR="00D74430" w:rsidTr="00F63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74430" w:rsidRPr="00FB5D78" w:rsidRDefault="00D74430" w:rsidP="00350CC4">
            <w:pPr>
              <w:jc w:val="left"/>
              <w:rPr>
                <w:sz w:val="16"/>
                <w:szCs w:val="16"/>
                <w:highlight w:val="yellow"/>
              </w:rPr>
            </w:pPr>
          </w:p>
        </w:tc>
        <w:tc>
          <w:tcPr>
            <w:cnfStyle w:val="000010000000" w:firstRow="0" w:lastRow="0" w:firstColumn="0" w:lastColumn="0" w:oddVBand="1" w:evenVBand="0" w:oddHBand="0" w:evenHBand="0" w:firstRowFirstColumn="0" w:firstRowLastColumn="0" w:lastRowFirstColumn="0" w:lastRowLastColumn="0"/>
            <w:tcW w:w="6378" w:type="dxa"/>
          </w:tcPr>
          <w:p w:rsidR="00D74430" w:rsidRPr="00FB5D78" w:rsidRDefault="00D74430" w:rsidP="00350CC4">
            <w:pPr>
              <w:jc w:val="left"/>
              <w:rPr>
                <w:sz w:val="16"/>
                <w:szCs w:val="16"/>
                <w:highlight w:val="yellow"/>
              </w:rPr>
            </w:pPr>
          </w:p>
        </w:tc>
        <w:tc>
          <w:tcPr>
            <w:tcW w:w="1276" w:type="dxa"/>
          </w:tcPr>
          <w:p w:rsidR="00D74430" w:rsidRPr="00FB5D78" w:rsidRDefault="00D74430" w:rsidP="00350CC4">
            <w:pPr>
              <w:jc w:val="left"/>
              <w:cnfStyle w:val="000000100000" w:firstRow="0" w:lastRow="0" w:firstColumn="0" w:lastColumn="0" w:oddVBand="0" w:evenVBand="0" w:oddHBand="1" w:evenHBand="0" w:firstRowFirstColumn="0" w:firstRowLastColumn="0" w:lastRowFirstColumn="0" w:lastRowLastColumn="0"/>
              <w:rPr>
                <w:sz w:val="16"/>
                <w:szCs w:val="16"/>
                <w:highlight w:val="yellow"/>
              </w:rPr>
            </w:pPr>
          </w:p>
        </w:tc>
      </w:tr>
      <w:tr w:rsidR="00D74430" w:rsidTr="00F639D3">
        <w:tc>
          <w:tcPr>
            <w:cnfStyle w:val="001000000000" w:firstRow="0" w:lastRow="0" w:firstColumn="1" w:lastColumn="0" w:oddVBand="0" w:evenVBand="0" w:oddHBand="0" w:evenHBand="0" w:firstRowFirstColumn="0" w:firstRowLastColumn="0" w:lastRowFirstColumn="0" w:lastRowLastColumn="0"/>
            <w:tcW w:w="959" w:type="dxa"/>
          </w:tcPr>
          <w:p w:rsidR="00D74430" w:rsidRPr="00FB5D78" w:rsidRDefault="00D74430" w:rsidP="00350CC4">
            <w:pPr>
              <w:jc w:val="left"/>
              <w:rPr>
                <w:sz w:val="16"/>
                <w:szCs w:val="16"/>
                <w:highlight w:val="yellow"/>
              </w:rPr>
            </w:pPr>
          </w:p>
        </w:tc>
        <w:tc>
          <w:tcPr>
            <w:cnfStyle w:val="000010000000" w:firstRow="0" w:lastRow="0" w:firstColumn="0" w:lastColumn="0" w:oddVBand="1" w:evenVBand="0" w:oddHBand="0" w:evenHBand="0" w:firstRowFirstColumn="0" w:firstRowLastColumn="0" w:lastRowFirstColumn="0" w:lastRowLastColumn="0"/>
            <w:tcW w:w="6378" w:type="dxa"/>
          </w:tcPr>
          <w:p w:rsidR="00D74430" w:rsidRPr="00FB5D78" w:rsidRDefault="00D74430" w:rsidP="00350CC4">
            <w:pPr>
              <w:jc w:val="left"/>
              <w:rPr>
                <w:sz w:val="16"/>
                <w:szCs w:val="16"/>
                <w:highlight w:val="yellow"/>
              </w:rPr>
            </w:pPr>
          </w:p>
        </w:tc>
        <w:tc>
          <w:tcPr>
            <w:tcW w:w="1276" w:type="dxa"/>
          </w:tcPr>
          <w:p w:rsidR="00D74430" w:rsidRPr="00FB5D78" w:rsidRDefault="00D74430" w:rsidP="00350CC4">
            <w:pPr>
              <w:jc w:val="left"/>
              <w:cnfStyle w:val="000000000000" w:firstRow="0" w:lastRow="0" w:firstColumn="0" w:lastColumn="0" w:oddVBand="0" w:evenVBand="0" w:oddHBand="0" w:evenHBand="0" w:firstRowFirstColumn="0" w:firstRowLastColumn="0" w:lastRowFirstColumn="0" w:lastRowLastColumn="0"/>
              <w:rPr>
                <w:sz w:val="16"/>
                <w:szCs w:val="16"/>
                <w:highlight w:val="yellow"/>
              </w:rPr>
            </w:pPr>
          </w:p>
        </w:tc>
      </w:tr>
      <w:tr w:rsidR="00D74430" w:rsidTr="00F63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74430" w:rsidRPr="00FB5D78" w:rsidRDefault="00D74430" w:rsidP="00350CC4">
            <w:pPr>
              <w:jc w:val="left"/>
              <w:rPr>
                <w:sz w:val="16"/>
                <w:szCs w:val="16"/>
                <w:highlight w:val="yellow"/>
              </w:rPr>
            </w:pPr>
          </w:p>
        </w:tc>
        <w:tc>
          <w:tcPr>
            <w:cnfStyle w:val="000010000000" w:firstRow="0" w:lastRow="0" w:firstColumn="0" w:lastColumn="0" w:oddVBand="1" w:evenVBand="0" w:oddHBand="0" w:evenHBand="0" w:firstRowFirstColumn="0" w:firstRowLastColumn="0" w:lastRowFirstColumn="0" w:lastRowLastColumn="0"/>
            <w:tcW w:w="6378" w:type="dxa"/>
          </w:tcPr>
          <w:p w:rsidR="00D74430" w:rsidRPr="00FB5D78" w:rsidRDefault="00D74430" w:rsidP="00350CC4">
            <w:pPr>
              <w:jc w:val="left"/>
              <w:rPr>
                <w:sz w:val="16"/>
                <w:szCs w:val="16"/>
                <w:highlight w:val="yellow"/>
              </w:rPr>
            </w:pPr>
          </w:p>
        </w:tc>
        <w:tc>
          <w:tcPr>
            <w:tcW w:w="1276" w:type="dxa"/>
          </w:tcPr>
          <w:p w:rsidR="00D74430" w:rsidRPr="00FB5D78" w:rsidRDefault="00D74430" w:rsidP="00350CC4">
            <w:pPr>
              <w:jc w:val="left"/>
              <w:cnfStyle w:val="000000100000" w:firstRow="0" w:lastRow="0" w:firstColumn="0" w:lastColumn="0" w:oddVBand="0" w:evenVBand="0" w:oddHBand="1" w:evenHBand="0" w:firstRowFirstColumn="0" w:firstRowLastColumn="0" w:lastRowFirstColumn="0" w:lastRowLastColumn="0"/>
              <w:rPr>
                <w:sz w:val="16"/>
                <w:szCs w:val="16"/>
                <w:highlight w:val="yellow"/>
              </w:rPr>
            </w:pPr>
          </w:p>
        </w:tc>
      </w:tr>
      <w:tr w:rsidR="00D74430" w:rsidTr="00F639D3">
        <w:tc>
          <w:tcPr>
            <w:cnfStyle w:val="001000000000" w:firstRow="0" w:lastRow="0" w:firstColumn="1" w:lastColumn="0" w:oddVBand="0" w:evenVBand="0" w:oddHBand="0" w:evenHBand="0" w:firstRowFirstColumn="0" w:firstRowLastColumn="0" w:lastRowFirstColumn="0" w:lastRowLastColumn="0"/>
            <w:tcW w:w="959" w:type="dxa"/>
          </w:tcPr>
          <w:p w:rsidR="00D74430" w:rsidRPr="00FB5D78" w:rsidRDefault="00D74430" w:rsidP="00350CC4">
            <w:pPr>
              <w:jc w:val="left"/>
              <w:rPr>
                <w:sz w:val="16"/>
                <w:szCs w:val="16"/>
                <w:highlight w:val="yellow"/>
              </w:rPr>
            </w:pPr>
          </w:p>
        </w:tc>
        <w:tc>
          <w:tcPr>
            <w:cnfStyle w:val="000010000000" w:firstRow="0" w:lastRow="0" w:firstColumn="0" w:lastColumn="0" w:oddVBand="1" w:evenVBand="0" w:oddHBand="0" w:evenHBand="0" w:firstRowFirstColumn="0" w:firstRowLastColumn="0" w:lastRowFirstColumn="0" w:lastRowLastColumn="0"/>
            <w:tcW w:w="6378" w:type="dxa"/>
          </w:tcPr>
          <w:p w:rsidR="00D74430" w:rsidRPr="00FB5D78" w:rsidRDefault="00D74430" w:rsidP="00350CC4">
            <w:pPr>
              <w:rPr>
                <w:rFonts w:eastAsia="MS Mincho"/>
                <w:b/>
                <w:bCs/>
                <w:highlight w:val="yellow"/>
                <w:lang w:eastAsia="ja-JP" w:bidi="de-DE"/>
              </w:rPr>
            </w:pPr>
          </w:p>
        </w:tc>
        <w:tc>
          <w:tcPr>
            <w:tcW w:w="1276" w:type="dxa"/>
          </w:tcPr>
          <w:p w:rsidR="00D74430" w:rsidRPr="00FB5D78" w:rsidRDefault="00D74430" w:rsidP="00350CC4">
            <w:pPr>
              <w:jc w:val="left"/>
              <w:cnfStyle w:val="000000000000" w:firstRow="0" w:lastRow="0" w:firstColumn="0" w:lastColumn="0" w:oddVBand="0" w:evenVBand="0" w:oddHBand="0" w:evenHBand="0" w:firstRowFirstColumn="0" w:firstRowLastColumn="0" w:lastRowFirstColumn="0" w:lastRowLastColumn="0"/>
              <w:rPr>
                <w:b/>
                <w:bCs/>
                <w:sz w:val="16"/>
                <w:szCs w:val="16"/>
                <w:highlight w:val="yellow"/>
              </w:rPr>
            </w:pPr>
          </w:p>
        </w:tc>
      </w:tr>
      <w:tr w:rsidR="00D74430" w:rsidTr="00F63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74430" w:rsidRPr="00FB5D78" w:rsidRDefault="00D74430" w:rsidP="00AB475E">
            <w:pPr>
              <w:jc w:val="left"/>
              <w:rPr>
                <w:sz w:val="16"/>
                <w:szCs w:val="16"/>
                <w:highlight w:val="yellow"/>
              </w:rPr>
            </w:pPr>
          </w:p>
        </w:tc>
        <w:tc>
          <w:tcPr>
            <w:cnfStyle w:val="000010000000" w:firstRow="0" w:lastRow="0" w:firstColumn="0" w:lastColumn="0" w:oddVBand="1" w:evenVBand="0" w:oddHBand="0" w:evenHBand="0" w:firstRowFirstColumn="0" w:firstRowLastColumn="0" w:lastRowFirstColumn="0" w:lastRowLastColumn="0"/>
            <w:tcW w:w="6378" w:type="dxa"/>
          </w:tcPr>
          <w:p w:rsidR="00D74430" w:rsidRPr="00FB5D78" w:rsidRDefault="00D74430" w:rsidP="00FB5D78">
            <w:pPr>
              <w:jc w:val="left"/>
              <w:rPr>
                <w:sz w:val="16"/>
                <w:szCs w:val="16"/>
                <w:highlight w:val="yellow"/>
              </w:rPr>
            </w:pPr>
          </w:p>
        </w:tc>
        <w:tc>
          <w:tcPr>
            <w:tcW w:w="1276" w:type="dxa"/>
          </w:tcPr>
          <w:p w:rsidR="00D74430" w:rsidRPr="00FB5D78" w:rsidRDefault="00D74430" w:rsidP="00AB475E">
            <w:pPr>
              <w:jc w:val="left"/>
              <w:cnfStyle w:val="000000100000" w:firstRow="0" w:lastRow="0" w:firstColumn="0" w:lastColumn="0" w:oddVBand="0" w:evenVBand="0" w:oddHBand="1" w:evenHBand="0" w:firstRowFirstColumn="0" w:firstRowLastColumn="0" w:lastRowFirstColumn="0" w:lastRowLastColumn="0"/>
              <w:rPr>
                <w:sz w:val="16"/>
                <w:szCs w:val="16"/>
                <w:highlight w:val="yellow"/>
              </w:rPr>
            </w:pPr>
          </w:p>
        </w:tc>
      </w:tr>
      <w:tr w:rsidR="00D74430" w:rsidTr="00FB5D78">
        <w:tc>
          <w:tcPr>
            <w:cnfStyle w:val="001000000000" w:firstRow="0" w:lastRow="0" w:firstColumn="1" w:lastColumn="0" w:oddVBand="0" w:evenVBand="0" w:oddHBand="0" w:evenHBand="0" w:firstRowFirstColumn="0" w:firstRowLastColumn="0" w:lastRowFirstColumn="0" w:lastRowLastColumn="0"/>
            <w:tcW w:w="959" w:type="dxa"/>
          </w:tcPr>
          <w:p w:rsidR="00D74430" w:rsidRPr="00FB5D78" w:rsidRDefault="00D74430" w:rsidP="00FB5D78">
            <w:pPr>
              <w:jc w:val="left"/>
              <w:rPr>
                <w:sz w:val="16"/>
                <w:szCs w:val="16"/>
                <w:highlight w:val="yellow"/>
              </w:rPr>
            </w:pPr>
          </w:p>
        </w:tc>
        <w:tc>
          <w:tcPr>
            <w:cnfStyle w:val="000010000000" w:firstRow="0" w:lastRow="0" w:firstColumn="0" w:lastColumn="0" w:oddVBand="1" w:evenVBand="0" w:oddHBand="0" w:evenHBand="0" w:firstRowFirstColumn="0" w:firstRowLastColumn="0" w:lastRowFirstColumn="0" w:lastRowLastColumn="0"/>
            <w:tcW w:w="6378" w:type="dxa"/>
          </w:tcPr>
          <w:p w:rsidR="00D74430" w:rsidRPr="00FB5D78" w:rsidRDefault="00D74430" w:rsidP="00FB5D78">
            <w:pPr>
              <w:jc w:val="left"/>
              <w:rPr>
                <w:sz w:val="16"/>
                <w:szCs w:val="16"/>
                <w:highlight w:val="yellow"/>
              </w:rPr>
            </w:pPr>
          </w:p>
        </w:tc>
        <w:tc>
          <w:tcPr>
            <w:tcW w:w="1276" w:type="dxa"/>
          </w:tcPr>
          <w:p w:rsidR="00D74430" w:rsidRPr="00FB5D78" w:rsidRDefault="00D74430" w:rsidP="00FB5D78">
            <w:pPr>
              <w:jc w:val="left"/>
              <w:cnfStyle w:val="000000000000" w:firstRow="0" w:lastRow="0" w:firstColumn="0" w:lastColumn="0" w:oddVBand="0" w:evenVBand="0" w:oddHBand="0" w:evenHBand="0" w:firstRowFirstColumn="0" w:firstRowLastColumn="0" w:lastRowFirstColumn="0" w:lastRowLastColumn="0"/>
              <w:rPr>
                <w:sz w:val="16"/>
                <w:szCs w:val="16"/>
                <w:highlight w:val="yellow"/>
              </w:rPr>
            </w:pPr>
          </w:p>
        </w:tc>
      </w:tr>
      <w:tr w:rsidR="00D74430" w:rsidTr="00F63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74430" w:rsidRPr="00AB475E" w:rsidRDefault="00D74430" w:rsidP="00350CC4">
            <w:pPr>
              <w:jc w:val="left"/>
              <w:rPr>
                <w:sz w:val="16"/>
                <w:szCs w:val="16"/>
              </w:rPr>
            </w:pPr>
          </w:p>
        </w:tc>
        <w:tc>
          <w:tcPr>
            <w:cnfStyle w:val="000010000000" w:firstRow="0" w:lastRow="0" w:firstColumn="0" w:lastColumn="0" w:oddVBand="1" w:evenVBand="0" w:oddHBand="0" w:evenHBand="0" w:firstRowFirstColumn="0" w:firstRowLastColumn="0" w:lastRowFirstColumn="0" w:lastRowLastColumn="0"/>
            <w:tcW w:w="6378" w:type="dxa"/>
          </w:tcPr>
          <w:p w:rsidR="00D74430" w:rsidRPr="00FB5D78" w:rsidRDefault="00D74430" w:rsidP="00D74430">
            <w:pPr>
              <w:jc w:val="left"/>
              <w:rPr>
                <w:sz w:val="16"/>
                <w:szCs w:val="16"/>
              </w:rPr>
            </w:pPr>
          </w:p>
        </w:tc>
        <w:tc>
          <w:tcPr>
            <w:tcW w:w="1276" w:type="dxa"/>
          </w:tcPr>
          <w:p w:rsidR="00D74430" w:rsidRPr="00FB5D78" w:rsidRDefault="00D74430" w:rsidP="00350CC4">
            <w:pPr>
              <w:jc w:val="left"/>
              <w:cnfStyle w:val="000000100000" w:firstRow="0" w:lastRow="0" w:firstColumn="0" w:lastColumn="0" w:oddVBand="0" w:evenVBand="0" w:oddHBand="1" w:evenHBand="0" w:firstRowFirstColumn="0" w:firstRowLastColumn="0" w:lastRowFirstColumn="0" w:lastRowLastColumn="0"/>
              <w:rPr>
                <w:sz w:val="16"/>
                <w:szCs w:val="16"/>
              </w:rPr>
            </w:pPr>
          </w:p>
        </w:tc>
      </w:tr>
    </w:tbl>
    <w:p w:rsidR="00E33F5E" w:rsidRDefault="00E33F5E" w:rsidP="001D3B0D">
      <w:pPr>
        <w:spacing w:line="240" w:lineRule="auto"/>
        <w:jc w:val="left"/>
      </w:pPr>
    </w:p>
    <w:p w:rsidR="00E33F5E" w:rsidRDefault="00E33F5E">
      <w:pPr>
        <w:spacing w:after="200"/>
        <w:jc w:val="left"/>
      </w:pPr>
      <w:r>
        <w:br w:type="page"/>
      </w:r>
    </w:p>
    <w:p w:rsidR="001D3B0D" w:rsidRDefault="001D3B0D" w:rsidP="001D3B0D">
      <w:pPr>
        <w:spacing w:line="240" w:lineRule="auto"/>
        <w:jc w:val="left"/>
      </w:pPr>
    </w:p>
    <w:sdt>
      <w:sdtPr>
        <w:rPr>
          <w:rFonts w:ascii="Arial" w:eastAsia="Calibri" w:hAnsi="Arial" w:cs="Times New Roman"/>
          <w:b w:val="0"/>
          <w:bCs w:val="0"/>
          <w:color w:val="auto"/>
          <w:sz w:val="18"/>
          <w:szCs w:val="22"/>
        </w:rPr>
        <w:id w:val="38997165"/>
        <w:docPartObj>
          <w:docPartGallery w:val="Table of Contents"/>
          <w:docPartUnique/>
        </w:docPartObj>
      </w:sdtPr>
      <w:sdtEndPr>
        <w:rPr>
          <w:rFonts w:asciiTheme="minorHAnsi" w:hAnsiTheme="minorHAnsi" w:cs="Arial"/>
        </w:rPr>
      </w:sdtEndPr>
      <w:sdtContent>
        <w:p w:rsidR="0002418F" w:rsidRDefault="0002418F" w:rsidP="00FB5D78">
          <w:pPr>
            <w:pStyle w:val="Inhaltsverzeichnisberschrift"/>
          </w:pPr>
          <w:r w:rsidRPr="00EE4FA8">
            <w:rPr>
              <w:rFonts w:asciiTheme="minorHAnsi" w:hAnsiTheme="minorHAnsi"/>
            </w:rPr>
            <w:t>Inhaltsverzeichnis</w:t>
          </w:r>
        </w:p>
        <w:p w:rsidR="00E33F5E" w:rsidRPr="00C54C12" w:rsidRDefault="00E33F5E" w:rsidP="00E33F5E">
          <w:pPr>
            <w:rPr>
              <w:color w:val="17365D" w:themeColor="text2" w:themeShade="BF"/>
            </w:rPr>
          </w:pPr>
        </w:p>
        <w:bookmarkStart w:id="1" w:name="_GoBack"/>
        <w:bookmarkEnd w:id="1"/>
        <w:p w:rsidR="001C619E" w:rsidRDefault="008F14A7">
          <w:pPr>
            <w:pStyle w:val="Verzeichnis1"/>
            <w:tabs>
              <w:tab w:val="right" w:leader="dot" w:pos="9912"/>
            </w:tabs>
            <w:rPr>
              <w:rFonts w:eastAsiaTheme="minorEastAsia" w:cstheme="minorBidi"/>
              <w:noProof/>
              <w:sz w:val="22"/>
              <w:lang w:val="de-AT" w:eastAsia="de-AT"/>
            </w:rPr>
          </w:pPr>
          <w:r w:rsidRPr="00C54C12">
            <w:rPr>
              <w:color w:val="17365D" w:themeColor="text2" w:themeShade="BF"/>
            </w:rPr>
            <w:fldChar w:fldCharType="begin"/>
          </w:r>
          <w:r w:rsidR="009A7FDC" w:rsidRPr="00C54C12">
            <w:rPr>
              <w:color w:val="17365D" w:themeColor="text2" w:themeShade="BF"/>
            </w:rPr>
            <w:instrText xml:space="preserve"> TOC \o "1-2" \h \z \u </w:instrText>
          </w:r>
          <w:r w:rsidRPr="00C54C12">
            <w:rPr>
              <w:color w:val="17365D" w:themeColor="text2" w:themeShade="BF"/>
            </w:rPr>
            <w:fldChar w:fldCharType="separate"/>
          </w:r>
          <w:hyperlink w:anchor="_Toc391985043" w:history="1">
            <w:r w:rsidR="001C619E" w:rsidRPr="00FF0493">
              <w:rPr>
                <w:rStyle w:val="Hyperlink"/>
                <w:noProof/>
              </w:rPr>
              <w:t>Geltungsbereich</w:t>
            </w:r>
            <w:r w:rsidR="001C619E">
              <w:rPr>
                <w:noProof/>
                <w:webHidden/>
              </w:rPr>
              <w:tab/>
            </w:r>
            <w:r w:rsidR="001C619E">
              <w:rPr>
                <w:noProof/>
                <w:webHidden/>
              </w:rPr>
              <w:fldChar w:fldCharType="begin"/>
            </w:r>
            <w:r w:rsidR="001C619E">
              <w:rPr>
                <w:noProof/>
                <w:webHidden/>
              </w:rPr>
              <w:instrText xml:space="preserve"> PAGEREF _Toc391985043 \h </w:instrText>
            </w:r>
            <w:r w:rsidR="001C619E">
              <w:rPr>
                <w:noProof/>
                <w:webHidden/>
              </w:rPr>
            </w:r>
            <w:r w:rsidR="001C619E">
              <w:rPr>
                <w:noProof/>
                <w:webHidden/>
              </w:rPr>
              <w:fldChar w:fldCharType="separate"/>
            </w:r>
            <w:r w:rsidR="00380BCC">
              <w:rPr>
                <w:noProof/>
                <w:webHidden/>
              </w:rPr>
              <w:t>4</w:t>
            </w:r>
            <w:r w:rsidR="001C619E">
              <w:rPr>
                <w:noProof/>
                <w:webHidden/>
              </w:rPr>
              <w:fldChar w:fldCharType="end"/>
            </w:r>
          </w:hyperlink>
        </w:p>
        <w:p w:rsidR="001C619E" w:rsidRDefault="001C619E">
          <w:pPr>
            <w:pStyle w:val="Verzeichnis1"/>
            <w:tabs>
              <w:tab w:val="left" w:pos="360"/>
              <w:tab w:val="right" w:leader="dot" w:pos="9912"/>
            </w:tabs>
            <w:rPr>
              <w:rFonts w:eastAsiaTheme="minorEastAsia" w:cstheme="minorBidi"/>
              <w:noProof/>
              <w:sz w:val="22"/>
              <w:lang w:val="de-AT" w:eastAsia="de-AT"/>
            </w:rPr>
          </w:pPr>
          <w:hyperlink w:anchor="_Toc391985044" w:history="1">
            <w:r w:rsidRPr="00FF0493">
              <w:rPr>
                <w:rStyle w:val="Hyperlink"/>
                <w:rFonts w:cstheme="minorHAnsi"/>
                <w:noProof/>
                <w:snapToGrid w:val="0"/>
                <w:w w:val="0"/>
              </w:rPr>
              <w:t>2.</w:t>
            </w:r>
            <w:r>
              <w:rPr>
                <w:rFonts w:eastAsiaTheme="minorEastAsia" w:cstheme="minorBidi"/>
                <w:noProof/>
                <w:sz w:val="22"/>
                <w:lang w:val="de-AT" w:eastAsia="de-AT"/>
              </w:rPr>
              <w:tab/>
            </w:r>
            <w:r w:rsidRPr="00FF0493">
              <w:rPr>
                <w:rStyle w:val="Hyperlink"/>
                <w:noProof/>
              </w:rPr>
              <w:t>Produkt- / Systembeschreibung</w:t>
            </w:r>
            <w:r>
              <w:rPr>
                <w:noProof/>
                <w:webHidden/>
              </w:rPr>
              <w:tab/>
            </w:r>
            <w:r>
              <w:rPr>
                <w:noProof/>
                <w:webHidden/>
              </w:rPr>
              <w:fldChar w:fldCharType="begin"/>
            </w:r>
            <w:r>
              <w:rPr>
                <w:noProof/>
                <w:webHidden/>
              </w:rPr>
              <w:instrText xml:space="preserve"> PAGEREF _Toc391985044 \h </w:instrText>
            </w:r>
            <w:r>
              <w:rPr>
                <w:noProof/>
                <w:webHidden/>
              </w:rPr>
            </w:r>
            <w:r>
              <w:rPr>
                <w:noProof/>
                <w:webHidden/>
              </w:rPr>
              <w:fldChar w:fldCharType="separate"/>
            </w:r>
            <w:r w:rsidR="00380BCC">
              <w:rPr>
                <w:noProof/>
                <w:webHidden/>
              </w:rPr>
              <w:t>4</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45" w:history="1">
            <w:r w:rsidRPr="00FF0493">
              <w:rPr>
                <w:rStyle w:val="Hyperlink"/>
                <w:noProof/>
              </w:rPr>
              <w:t>2.1</w:t>
            </w:r>
            <w:r>
              <w:rPr>
                <w:rFonts w:eastAsiaTheme="minorEastAsia" w:cstheme="minorBidi"/>
                <w:noProof/>
                <w:sz w:val="22"/>
                <w:lang w:val="de-AT" w:eastAsia="de-AT"/>
              </w:rPr>
              <w:tab/>
            </w:r>
            <w:r w:rsidRPr="00FF0493">
              <w:rPr>
                <w:rStyle w:val="Hyperlink"/>
                <w:noProof/>
              </w:rPr>
              <w:t>Allgemeine Produktbeschreibung</w:t>
            </w:r>
            <w:r>
              <w:rPr>
                <w:noProof/>
                <w:webHidden/>
              </w:rPr>
              <w:tab/>
            </w:r>
            <w:r>
              <w:rPr>
                <w:noProof/>
                <w:webHidden/>
              </w:rPr>
              <w:fldChar w:fldCharType="begin"/>
            </w:r>
            <w:r>
              <w:rPr>
                <w:noProof/>
                <w:webHidden/>
              </w:rPr>
              <w:instrText xml:space="preserve"> PAGEREF _Toc391985045 \h </w:instrText>
            </w:r>
            <w:r>
              <w:rPr>
                <w:noProof/>
                <w:webHidden/>
              </w:rPr>
            </w:r>
            <w:r>
              <w:rPr>
                <w:noProof/>
                <w:webHidden/>
              </w:rPr>
              <w:fldChar w:fldCharType="separate"/>
            </w:r>
            <w:r w:rsidR="00380BCC">
              <w:rPr>
                <w:noProof/>
                <w:webHidden/>
              </w:rPr>
              <w:t>4</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46" w:history="1">
            <w:r w:rsidRPr="00FF0493">
              <w:rPr>
                <w:rStyle w:val="Hyperlink"/>
                <w:noProof/>
              </w:rPr>
              <w:t>2.2</w:t>
            </w:r>
            <w:r>
              <w:rPr>
                <w:rFonts w:eastAsiaTheme="minorEastAsia" w:cstheme="minorBidi"/>
                <w:noProof/>
                <w:sz w:val="22"/>
                <w:lang w:val="de-AT" w:eastAsia="de-AT"/>
              </w:rPr>
              <w:tab/>
            </w:r>
            <w:r w:rsidRPr="00FF0493">
              <w:rPr>
                <w:rStyle w:val="Hyperlink"/>
                <w:noProof/>
              </w:rPr>
              <w:t>Inverkehrbringen und Bereitstellung auf dem Markt</w:t>
            </w:r>
            <w:r>
              <w:rPr>
                <w:noProof/>
                <w:webHidden/>
              </w:rPr>
              <w:tab/>
            </w:r>
            <w:r>
              <w:rPr>
                <w:noProof/>
                <w:webHidden/>
              </w:rPr>
              <w:fldChar w:fldCharType="begin"/>
            </w:r>
            <w:r>
              <w:rPr>
                <w:noProof/>
                <w:webHidden/>
              </w:rPr>
              <w:instrText xml:space="preserve"> PAGEREF _Toc391985046 \h </w:instrText>
            </w:r>
            <w:r>
              <w:rPr>
                <w:noProof/>
                <w:webHidden/>
              </w:rPr>
            </w:r>
            <w:r>
              <w:rPr>
                <w:noProof/>
                <w:webHidden/>
              </w:rPr>
              <w:fldChar w:fldCharType="separate"/>
            </w:r>
            <w:r w:rsidR="00380BCC">
              <w:rPr>
                <w:noProof/>
                <w:webHidden/>
              </w:rPr>
              <w:t>4</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47" w:history="1">
            <w:r w:rsidRPr="00FF0493">
              <w:rPr>
                <w:rStyle w:val="Hyperlink"/>
                <w:noProof/>
              </w:rPr>
              <w:t>2.3</w:t>
            </w:r>
            <w:r>
              <w:rPr>
                <w:rFonts w:eastAsiaTheme="minorEastAsia" w:cstheme="minorBidi"/>
                <w:noProof/>
                <w:sz w:val="22"/>
                <w:lang w:val="de-AT" w:eastAsia="de-AT"/>
              </w:rPr>
              <w:tab/>
            </w:r>
            <w:r w:rsidRPr="00FF0493">
              <w:rPr>
                <w:rStyle w:val="Hyperlink"/>
                <w:noProof/>
              </w:rPr>
              <w:t>Anwendungsbereiche</w:t>
            </w:r>
            <w:r>
              <w:rPr>
                <w:noProof/>
                <w:webHidden/>
              </w:rPr>
              <w:tab/>
            </w:r>
            <w:r>
              <w:rPr>
                <w:noProof/>
                <w:webHidden/>
              </w:rPr>
              <w:fldChar w:fldCharType="begin"/>
            </w:r>
            <w:r>
              <w:rPr>
                <w:noProof/>
                <w:webHidden/>
              </w:rPr>
              <w:instrText xml:space="preserve"> PAGEREF _Toc391985047 \h </w:instrText>
            </w:r>
            <w:r>
              <w:rPr>
                <w:noProof/>
                <w:webHidden/>
              </w:rPr>
            </w:r>
            <w:r>
              <w:rPr>
                <w:noProof/>
                <w:webHidden/>
              </w:rPr>
              <w:fldChar w:fldCharType="separate"/>
            </w:r>
            <w:r w:rsidR="00380BCC">
              <w:rPr>
                <w:noProof/>
                <w:webHidden/>
              </w:rPr>
              <w:t>4</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48" w:history="1">
            <w:r w:rsidRPr="00FF0493">
              <w:rPr>
                <w:rStyle w:val="Hyperlink"/>
                <w:noProof/>
              </w:rPr>
              <w:t>2.4</w:t>
            </w:r>
            <w:r>
              <w:rPr>
                <w:rFonts w:eastAsiaTheme="minorEastAsia" w:cstheme="minorBidi"/>
                <w:noProof/>
                <w:sz w:val="22"/>
                <w:lang w:val="de-AT" w:eastAsia="de-AT"/>
              </w:rPr>
              <w:tab/>
            </w:r>
            <w:r w:rsidRPr="00FF0493">
              <w:rPr>
                <w:rStyle w:val="Hyperlink"/>
                <w:noProof/>
              </w:rPr>
              <w:t>Technische Daten</w:t>
            </w:r>
            <w:r>
              <w:rPr>
                <w:noProof/>
                <w:webHidden/>
              </w:rPr>
              <w:tab/>
            </w:r>
            <w:r>
              <w:rPr>
                <w:noProof/>
                <w:webHidden/>
              </w:rPr>
              <w:fldChar w:fldCharType="begin"/>
            </w:r>
            <w:r>
              <w:rPr>
                <w:noProof/>
                <w:webHidden/>
              </w:rPr>
              <w:instrText xml:space="preserve"> PAGEREF _Toc391985048 \h </w:instrText>
            </w:r>
            <w:r>
              <w:rPr>
                <w:noProof/>
                <w:webHidden/>
              </w:rPr>
            </w:r>
            <w:r>
              <w:rPr>
                <w:noProof/>
                <w:webHidden/>
              </w:rPr>
              <w:fldChar w:fldCharType="separate"/>
            </w:r>
            <w:r w:rsidR="00380BCC">
              <w:rPr>
                <w:noProof/>
                <w:webHidden/>
              </w:rPr>
              <w:t>4</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49" w:history="1">
            <w:r w:rsidRPr="00FF0493">
              <w:rPr>
                <w:rStyle w:val="Hyperlink"/>
                <w:noProof/>
              </w:rPr>
              <w:t>2.5</w:t>
            </w:r>
            <w:r>
              <w:rPr>
                <w:rFonts w:eastAsiaTheme="minorEastAsia" w:cstheme="minorBidi"/>
                <w:noProof/>
                <w:sz w:val="22"/>
                <w:lang w:val="de-AT" w:eastAsia="de-AT"/>
              </w:rPr>
              <w:tab/>
            </w:r>
            <w:r w:rsidRPr="00FF0493">
              <w:rPr>
                <w:rStyle w:val="Hyperlink"/>
                <w:noProof/>
              </w:rPr>
              <w:t>Lieferbedingungen</w:t>
            </w:r>
            <w:r>
              <w:rPr>
                <w:noProof/>
                <w:webHidden/>
              </w:rPr>
              <w:tab/>
            </w:r>
            <w:r>
              <w:rPr>
                <w:noProof/>
                <w:webHidden/>
              </w:rPr>
              <w:fldChar w:fldCharType="begin"/>
            </w:r>
            <w:r>
              <w:rPr>
                <w:noProof/>
                <w:webHidden/>
              </w:rPr>
              <w:instrText xml:space="preserve"> PAGEREF _Toc391985049 \h </w:instrText>
            </w:r>
            <w:r>
              <w:rPr>
                <w:noProof/>
                <w:webHidden/>
              </w:rPr>
            </w:r>
            <w:r>
              <w:rPr>
                <w:noProof/>
                <w:webHidden/>
              </w:rPr>
              <w:fldChar w:fldCharType="separate"/>
            </w:r>
            <w:r w:rsidR="00380BCC">
              <w:rPr>
                <w:noProof/>
                <w:webHidden/>
              </w:rPr>
              <w:t>5</w:t>
            </w:r>
            <w:r>
              <w:rPr>
                <w:noProof/>
                <w:webHidden/>
              </w:rPr>
              <w:fldChar w:fldCharType="end"/>
            </w:r>
          </w:hyperlink>
        </w:p>
        <w:p w:rsidR="001C619E" w:rsidRDefault="001C619E">
          <w:pPr>
            <w:pStyle w:val="Verzeichnis1"/>
            <w:tabs>
              <w:tab w:val="left" w:pos="360"/>
              <w:tab w:val="right" w:leader="dot" w:pos="9912"/>
            </w:tabs>
            <w:rPr>
              <w:rFonts w:eastAsiaTheme="minorEastAsia" w:cstheme="minorBidi"/>
              <w:noProof/>
              <w:sz w:val="22"/>
              <w:lang w:val="de-AT" w:eastAsia="de-AT"/>
            </w:rPr>
          </w:pPr>
          <w:hyperlink w:anchor="_Toc391985050" w:history="1">
            <w:r w:rsidRPr="00FF0493">
              <w:rPr>
                <w:rStyle w:val="Hyperlink"/>
                <w:rFonts w:cstheme="minorHAnsi"/>
                <w:noProof/>
                <w:snapToGrid w:val="0"/>
                <w:w w:val="0"/>
              </w:rPr>
              <w:t>3.</w:t>
            </w:r>
            <w:r>
              <w:rPr>
                <w:rFonts w:eastAsiaTheme="minorEastAsia" w:cstheme="minorBidi"/>
                <w:noProof/>
                <w:sz w:val="22"/>
                <w:lang w:val="de-AT" w:eastAsia="de-AT"/>
              </w:rPr>
              <w:tab/>
            </w:r>
            <w:r w:rsidRPr="00FF0493">
              <w:rPr>
                <w:rStyle w:val="Hyperlink"/>
                <w:noProof/>
              </w:rPr>
              <w:t>Lebenszyklusbeschreibung</w:t>
            </w:r>
            <w:r>
              <w:rPr>
                <w:noProof/>
                <w:webHidden/>
              </w:rPr>
              <w:tab/>
            </w:r>
            <w:r>
              <w:rPr>
                <w:noProof/>
                <w:webHidden/>
              </w:rPr>
              <w:fldChar w:fldCharType="begin"/>
            </w:r>
            <w:r>
              <w:rPr>
                <w:noProof/>
                <w:webHidden/>
              </w:rPr>
              <w:instrText xml:space="preserve"> PAGEREF _Toc391985050 \h </w:instrText>
            </w:r>
            <w:r>
              <w:rPr>
                <w:noProof/>
                <w:webHidden/>
              </w:rPr>
            </w:r>
            <w:r>
              <w:rPr>
                <w:noProof/>
                <w:webHidden/>
              </w:rPr>
              <w:fldChar w:fldCharType="separate"/>
            </w:r>
            <w:r w:rsidR="00380BCC">
              <w:rPr>
                <w:noProof/>
                <w:webHidden/>
              </w:rPr>
              <w:t>6</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51" w:history="1">
            <w:r w:rsidRPr="00FF0493">
              <w:rPr>
                <w:rStyle w:val="Hyperlink"/>
                <w:noProof/>
              </w:rPr>
              <w:t>3.1</w:t>
            </w:r>
            <w:r>
              <w:rPr>
                <w:rFonts w:eastAsiaTheme="minorEastAsia" w:cstheme="minorBidi"/>
                <w:noProof/>
                <w:sz w:val="22"/>
                <w:lang w:val="de-AT" w:eastAsia="de-AT"/>
              </w:rPr>
              <w:tab/>
            </w:r>
            <w:r w:rsidRPr="00FF0493">
              <w:rPr>
                <w:rStyle w:val="Hyperlink"/>
                <w:noProof/>
              </w:rPr>
              <w:t>Grundstoffe (Hauptkomponenten und Hilfsstoffe)</w:t>
            </w:r>
            <w:r>
              <w:rPr>
                <w:noProof/>
                <w:webHidden/>
              </w:rPr>
              <w:tab/>
            </w:r>
            <w:r>
              <w:rPr>
                <w:noProof/>
                <w:webHidden/>
              </w:rPr>
              <w:fldChar w:fldCharType="begin"/>
            </w:r>
            <w:r>
              <w:rPr>
                <w:noProof/>
                <w:webHidden/>
              </w:rPr>
              <w:instrText xml:space="preserve"> PAGEREF _Toc391985051 \h </w:instrText>
            </w:r>
            <w:r>
              <w:rPr>
                <w:noProof/>
                <w:webHidden/>
              </w:rPr>
            </w:r>
            <w:r>
              <w:rPr>
                <w:noProof/>
                <w:webHidden/>
              </w:rPr>
              <w:fldChar w:fldCharType="separate"/>
            </w:r>
            <w:r w:rsidR="00380BCC">
              <w:rPr>
                <w:noProof/>
                <w:webHidden/>
              </w:rPr>
              <w:t>6</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52" w:history="1">
            <w:r w:rsidRPr="00FF0493">
              <w:rPr>
                <w:rStyle w:val="Hyperlink"/>
                <w:noProof/>
              </w:rPr>
              <w:t>3.2</w:t>
            </w:r>
            <w:r>
              <w:rPr>
                <w:rFonts w:eastAsiaTheme="minorEastAsia" w:cstheme="minorBidi"/>
                <w:noProof/>
                <w:sz w:val="22"/>
                <w:lang w:val="de-AT" w:eastAsia="de-AT"/>
              </w:rPr>
              <w:tab/>
            </w:r>
            <w:r w:rsidRPr="00FF0493">
              <w:rPr>
                <w:rStyle w:val="Hyperlink"/>
                <w:noProof/>
              </w:rPr>
              <w:t>Herstellung</w:t>
            </w:r>
            <w:r>
              <w:rPr>
                <w:noProof/>
                <w:webHidden/>
              </w:rPr>
              <w:tab/>
            </w:r>
            <w:r>
              <w:rPr>
                <w:noProof/>
                <w:webHidden/>
              </w:rPr>
              <w:fldChar w:fldCharType="begin"/>
            </w:r>
            <w:r>
              <w:rPr>
                <w:noProof/>
                <w:webHidden/>
              </w:rPr>
              <w:instrText xml:space="preserve"> PAGEREF _Toc391985052 \h </w:instrText>
            </w:r>
            <w:r>
              <w:rPr>
                <w:noProof/>
                <w:webHidden/>
              </w:rPr>
            </w:r>
            <w:r>
              <w:rPr>
                <w:noProof/>
                <w:webHidden/>
              </w:rPr>
              <w:fldChar w:fldCharType="separate"/>
            </w:r>
            <w:r w:rsidR="00380BCC">
              <w:rPr>
                <w:noProof/>
                <w:webHidden/>
              </w:rPr>
              <w:t>6</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53" w:history="1">
            <w:r w:rsidRPr="00FF0493">
              <w:rPr>
                <w:rStyle w:val="Hyperlink"/>
                <w:noProof/>
              </w:rPr>
              <w:t>3.3</w:t>
            </w:r>
            <w:r>
              <w:rPr>
                <w:rFonts w:eastAsiaTheme="minorEastAsia" w:cstheme="minorBidi"/>
                <w:noProof/>
                <w:sz w:val="22"/>
                <w:lang w:val="de-AT" w:eastAsia="de-AT"/>
              </w:rPr>
              <w:tab/>
            </w:r>
            <w:r w:rsidRPr="00FF0493">
              <w:rPr>
                <w:rStyle w:val="Hyperlink"/>
                <w:noProof/>
              </w:rPr>
              <w:t>Verpackung</w:t>
            </w:r>
            <w:r>
              <w:rPr>
                <w:noProof/>
                <w:webHidden/>
              </w:rPr>
              <w:tab/>
            </w:r>
            <w:r>
              <w:rPr>
                <w:noProof/>
                <w:webHidden/>
              </w:rPr>
              <w:fldChar w:fldCharType="begin"/>
            </w:r>
            <w:r>
              <w:rPr>
                <w:noProof/>
                <w:webHidden/>
              </w:rPr>
              <w:instrText xml:space="preserve"> PAGEREF _Toc391985053 \h </w:instrText>
            </w:r>
            <w:r>
              <w:rPr>
                <w:noProof/>
                <w:webHidden/>
              </w:rPr>
            </w:r>
            <w:r>
              <w:rPr>
                <w:noProof/>
                <w:webHidden/>
              </w:rPr>
              <w:fldChar w:fldCharType="separate"/>
            </w:r>
            <w:r w:rsidR="00380BCC">
              <w:rPr>
                <w:noProof/>
                <w:webHidden/>
              </w:rPr>
              <w:t>6</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54" w:history="1">
            <w:r w:rsidRPr="00FF0493">
              <w:rPr>
                <w:rStyle w:val="Hyperlink"/>
                <w:noProof/>
              </w:rPr>
              <w:t>3.4</w:t>
            </w:r>
            <w:r>
              <w:rPr>
                <w:rFonts w:eastAsiaTheme="minorEastAsia" w:cstheme="minorBidi"/>
                <w:noProof/>
                <w:sz w:val="22"/>
                <w:lang w:val="de-AT" w:eastAsia="de-AT"/>
              </w:rPr>
              <w:tab/>
            </w:r>
            <w:r w:rsidRPr="00FF0493">
              <w:rPr>
                <w:rStyle w:val="Hyperlink"/>
                <w:noProof/>
              </w:rPr>
              <w:t>Transporte</w:t>
            </w:r>
            <w:r>
              <w:rPr>
                <w:noProof/>
                <w:webHidden/>
              </w:rPr>
              <w:tab/>
            </w:r>
            <w:r>
              <w:rPr>
                <w:noProof/>
                <w:webHidden/>
              </w:rPr>
              <w:fldChar w:fldCharType="begin"/>
            </w:r>
            <w:r>
              <w:rPr>
                <w:noProof/>
                <w:webHidden/>
              </w:rPr>
              <w:instrText xml:space="preserve"> PAGEREF _Toc391985054 \h </w:instrText>
            </w:r>
            <w:r>
              <w:rPr>
                <w:noProof/>
                <w:webHidden/>
              </w:rPr>
            </w:r>
            <w:r>
              <w:rPr>
                <w:noProof/>
                <w:webHidden/>
              </w:rPr>
              <w:fldChar w:fldCharType="separate"/>
            </w:r>
            <w:r w:rsidR="00380BCC">
              <w:rPr>
                <w:noProof/>
                <w:webHidden/>
              </w:rPr>
              <w:t>6</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55" w:history="1">
            <w:r w:rsidRPr="00FF0493">
              <w:rPr>
                <w:rStyle w:val="Hyperlink"/>
                <w:noProof/>
              </w:rPr>
              <w:t>3.5</w:t>
            </w:r>
            <w:r>
              <w:rPr>
                <w:rFonts w:eastAsiaTheme="minorEastAsia" w:cstheme="minorBidi"/>
                <w:noProof/>
                <w:sz w:val="22"/>
                <w:lang w:val="de-AT" w:eastAsia="de-AT"/>
              </w:rPr>
              <w:tab/>
            </w:r>
            <w:r w:rsidRPr="00FF0493">
              <w:rPr>
                <w:rStyle w:val="Hyperlink"/>
                <w:noProof/>
              </w:rPr>
              <w:t>Produktverarbeitung und Installation</w:t>
            </w:r>
            <w:r>
              <w:rPr>
                <w:noProof/>
                <w:webHidden/>
              </w:rPr>
              <w:tab/>
            </w:r>
            <w:r>
              <w:rPr>
                <w:noProof/>
                <w:webHidden/>
              </w:rPr>
              <w:fldChar w:fldCharType="begin"/>
            </w:r>
            <w:r>
              <w:rPr>
                <w:noProof/>
                <w:webHidden/>
              </w:rPr>
              <w:instrText xml:space="preserve"> PAGEREF _Toc391985055 \h </w:instrText>
            </w:r>
            <w:r>
              <w:rPr>
                <w:noProof/>
                <w:webHidden/>
              </w:rPr>
            </w:r>
            <w:r>
              <w:rPr>
                <w:noProof/>
                <w:webHidden/>
              </w:rPr>
              <w:fldChar w:fldCharType="separate"/>
            </w:r>
            <w:r w:rsidR="00380BCC">
              <w:rPr>
                <w:noProof/>
                <w:webHidden/>
              </w:rPr>
              <w:t>6</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56" w:history="1">
            <w:r w:rsidRPr="00FF0493">
              <w:rPr>
                <w:rStyle w:val="Hyperlink"/>
                <w:noProof/>
              </w:rPr>
              <w:t>3.6</w:t>
            </w:r>
            <w:r>
              <w:rPr>
                <w:rFonts w:eastAsiaTheme="minorEastAsia" w:cstheme="minorBidi"/>
                <w:noProof/>
                <w:sz w:val="22"/>
                <w:lang w:val="de-AT" w:eastAsia="de-AT"/>
              </w:rPr>
              <w:tab/>
            </w:r>
            <w:r w:rsidRPr="00FF0493">
              <w:rPr>
                <w:rStyle w:val="Hyperlink"/>
                <w:noProof/>
              </w:rPr>
              <w:t>Nutzungsphase</w:t>
            </w:r>
            <w:r>
              <w:rPr>
                <w:noProof/>
                <w:webHidden/>
              </w:rPr>
              <w:tab/>
            </w:r>
            <w:r>
              <w:rPr>
                <w:noProof/>
                <w:webHidden/>
              </w:rPr>
              <w:fldChar w:fldCharType="begin"/>
            </w:r>
            <w:r>
              <w:rPr>
                <w:noProof/>
                <w:webHidden/>
              </w:rPr>
              <w:instrText xml:space="preserve"> PAGEREF _Toc391985056 \h </w:instrText>
            </w:r>
            <w:r>
              <w:rPr>
                <w:noProof/>
                <w:webHidden/>
              </w:rPr>
            </w:r>
            <w:r>
              <w:rPr>
                <w:noProof/>
                <w:webHidden/>
              </w:rPr>
              <w:fldChar w:fldCharType="separate"/>
            </w:r>
            <w:r w:rsidR="00380BCC">
              <w:rPr>
                <w:noProof/>
                <w:webHidden/>
              </w:rPr>
              <w:t>7</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57" w:history="1">
            <w:r w:rsidRPr="00FF0493">
              <w:rPr>
                <w:rStyle w:val="Hyperlink"/>
                <w:noProof/>
              </w:rPr>
              <w:t>3.7</w:t>
            </w:r>
            <w:r>
              <w:rPr>
                <w:rFonts w:eastAsiaTheme="minorEastAsia" w:cstheme="minorBidi"/>
                <w:noProof/>
                <w:sz w:val="22"/>
                <w:lang w:val="de-AT" w:eastAsia="de-AT"/>
              </w:rPr>
              <w:tab/>
            </w:r>
            <w:r w:rsidRPr="00FF0493">
              <w:rPr>
                <w:rStyle w:val="Hyperlink"/>
                <w:noProof/>
              </w:rPr>
              <w:t>Nachnutzungsphase</w:t>
            </w:r>
            <w:r>
              <w:rPr>
                <w:noProof/>
                <w:webHidden/>
              </w:rPr>
              <w:tab/>
            </w:r>
            <w:r>
              <w:rPr>
                <w:noProof/>
                <w:webHidden/>
              </w:rPr>
              <w:fldChar w:fldCharType="begin"/>
            </w:r>
            <w:r>
              <w:rPr>
                <w:noProof/>
                <w:webHidden/>
              </w:rPr>
              <w:instrText xml:space="preserve"> PAGEREF _Toc391985057 \h </w:instrText>
            </w:r>
            <w:r>
              <w:rPr>
                <w:noProof/>
                <w:webHidden/>
              </w:rPr>
            </w:r>
            <w:r>
              <w:rPr>
                <w:noProof/>
                <w:webHidden/>
              </w:rPr>
              <w:fldChar w:fldCharType="separate"/>
            </w:r>
            <w:r w:rsidR="00380BCC">
              <w:rPr>
                <w:noProof/>
                <w:webHidden/>
              </w:rPr>
              <w:t>7</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58" w:history="1">
            <w:r w:rsidRPr="00FF0493">
              <w:rPr>
                <w:rStyle w:val="Hyperlink"/>
                <w:noProof/>
              </w:rPr>
              <w:t>3.8</w:t>
            </w:r>
            <w:r>
              <w:rPr>
                <w:rFonts w:eastAsiaTheme="minorEastAsia" w:cstheme="minorBidi"/>
                <w:noProof/>
                <w:sz w:val="22"/>
                <w:lang w:val="de-AT" w:eastAsia="de-AT"/>
              </w:rPr>
              <w:tab/>
            </w:r>
            <w:r w:rsidRPr="00FF0493">
              <w:rPr>
                <w:rStyle w:val="Hyperlink"/>
                <w:noProof/>
              </w:rPr>
              <w:t>Weitere Informationen</w:t>
            </w:r>
            <w:r>
              <w:rPr>
                <w:noProof/>
                <w:webHidden/>
              </w:rPr>
              <w:tab/>
            </w:r>
            <w:r>
              <w:rPr>
                <w:noProof/>
                <w:webHidden/>
              </w:rPr>
              <w:fldChar w:fldCharType="begin"/>
            </w:r>
            <w:r>
              <w:rPr>
                <w:noProof/>
                <w:webHidden/>
              </w:rPr>
              <w:instrText xml:space="preserve"> PAGEREF _Toc391985058 \h </w:instrText>
            </w:r>
            <w:r>
              <w:rPr>
                <w:noProof/>
                <w:webHidden/>
              </w:rPr>
            </w:r>
            <w:r>
              <w:rPr>
                <w:noProof/>
                <w:webHidden/>
              </w:rPr>
              <w:fldChar w:fldCharType="separate"/>
            </w:r>
            <w:r w:rsidR="00380BCC">
              <w:rPr>
                <w:noProof/>
                <w:webHidden/>
              </w:rPr>
              <w:t>7</w:t>
            </w:r>
            <w:r>
              <w:rPr>
                <w:noProof/>
                <w:webHidden/>
              </w:rPr>
              <w:fldChar w:fldCharType="end"/>
            </w:r>
          </w:hyperlink>
        </w:p>
        <w:p w:rsidR="001C619E" w:rsidRDefault="001C619E">
          <w:pPr>
            <w:pStyle w:val="Verzeichnis1"/>
            <w:tabs>
              <w:tab w:val="left" w:pos="360"/>
              <w:tab w:val="right" w:leader="dot" w:pos="9912"/>
            </w:tabs>
            <w:rPr>
              <w:rFonts w:eastAsiaTheme="minorEastAsia" w:cstheme="minorBidi"/>
              <w:noProof/>
              <w:sz w:val="22"/>
              <w:lang w:val="de-AT" w:eastAsia="de-AT"/>
            </w:rPr>
          </w:pPr>
          <w:hyperlink w:anchor="_Toc391985059" w:history="1">
            <w:r w:rsidRPr="00FF0493">
              <w:rPr>
                <w:rStyle w:val="Hyperlink"/>
                <w:rFonts w:cstheme="minorHAnsi"/>
                <w:noProof/>
                <w:snapToGrid w:val="0"/>
                <w:w w:val="0"/>
              </w:rPr>
              <w:t>4.</w:t>
            </w:r>
            <w:r>
              <w:rPr>
                <w:rFonts w:eastAsiaTheme="minorEastAsia" w:cstheme="minorBidi"/>
                <w:noProof/>
                <w:sz w:val="22"/>
                <w:lang w:val="de-AT" w:eastAsia="de-AT"/>
              </w:rPr>
              <w:tab/>
            </w:r>
            <w:r w:rsidRPr="00FF0493">
              <w:rPr>
                <w:rStyle w:val="Hyperlink"/>
                <w:noProof/>
              </w:rPr>
              <w:t>Ökobilanz</w:t>
            </w:r>
            <w:r>
              <w:rPr>
                <w:noProof/>
                <w:webHidden/>
              </w:rPr>
              <w:tab/>
            </w:r>
            <w:r>
              <w:rPr>
                <w:noProof/>
                <w:webHidden/>
              </w:rPr>
              <w:fldChar w:fldCharType="begin"/>
            </w:r>
            <w:r>
              <w:rPr>
                <w:noProof/>
                <w:webHidden/>
              </w:rPr>
              <w:instrText xml:space="preserve"> PAGEREF _Toc391985059 \h </w:instrText>
            </w:r>
            <w:r>
              <w:rPr>
                <w:noProof/>
                <w:webHidden/>
              </w:rPr>
            </w:r>
            <w:r>
              <w:rPr>
                <w:noProof/>
                <w:webHidden/>
              </w:rPr>
              <w:fldChar w:fldCharType="separate"/>
            </w:r>
            <w:r w:rsidR="00380BCC">
              <w:rPr>
                <w:noProof/>
                <w:webHidden/>
              </w:rPr>
              <w:t>8</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60" w:history="1">
            <w:r w:rsidRPr="00FF0493">
              <w:rPr>
                <w:rStyle w:val="Hyperlink"/>
                <w:noProof/>
              </w:rPr>
              <w:t>4.1</w:t>
            </w:r>
            <w:r>
              <w:rPr>
                <w:rFonts w:eastAsiaTheme="minorEastAsia" w:cstheme="minorBidi"/>
                <w:noProof/>
                <w:sz w:val="22"/>
                <w:lang w:val="de-AT" w:eastAsia="de-AT"/>
              </w:rPr>
              <w:tab/>
            </w:r>
            <w:r w:rsidRPr="00FF0493">
              <w:rPr>
                <w:rStyle w:val="Hyperlink"/>
                <w:noProof/>
              </w:rPr>
              <w:t>Methodische Annahmen</w:t>
            </w:r>
            <w:r>
              <w:rPr>
                <w:noProof/>
                <w:webHidden/>
              </w:rPr>
              <w:tab/>
            </w:r>
            <w:r>
              <w:rPr>
                <w:noProof/>
                <w:webHidden/>
              </w:rPr>
              <w:fldChar w:fldCharType="begin"/>
            </w:r>
            <w:r>
              <w:rPr>
                <w:noProof/>
                <w:webHidden/>
              </w:rPr>
              <w:instrText xml:space="preserve"> PAGEREF _Toc391985060 \h </w:instrText>
            </w:r>
            <w:r>
              <w:rPr>
                <w:noProof/>
                <w:webHidden/>
              </w:rPr>
            </w:r>
            <w:r>
              <w:rPr>
                <w:noProof/>
                <w:webHidden/>
              </w:rPr>
              <w:fldChar w:fldCharType="separate"/>
            </w:r>
            <w:r w:rsidR="00380BCC">
              <w:rPr>
                <w:noProof/>
                <w:webHidden/>
              </w:rPr>
              <w:t>8</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61" w:history="1">
            <w:r w:rsidRPr="00FF0493">
              <w:rPr>
                <w:rStyle w:val="Hyperlink"/>
                <w:noProof/>
              </w:rPr>
              <w:t>4.2</w:t>
            </w:r>
            <w:r>
              <w:rPr>
                <w:rFonts w:eastAsiaTheme="minorEastAsia" w:cstheme="minorBidi"/>
                <w:noProof/>
                <w:sz w:val="22"/>
                <w:lang w:val="de-AT" w:eastAsia="de-AT"/>
              </w:rPr>
              <w:tab/>
            </w:r>
            <w:r w:rsidRPr="00FF0493">
              <w:rPr>
                <w:rStyle w:val="Hyperlink"/>
                <w:noProof/>
              </w:rPr>
              <w:t>Deklaration der methodische Annahmen</w:t>
            </w:r>
            <w:r>
              <w:rPr>
                <w:noProof/>
                <w:webHidden/>
              </w:rPr>
              <w:tab/>
            </w:r>
            <w:r>
              <w:rPr>
                <w:noProof/>
                <w:webHidden/>
              </w:rPr>
              <w:fldChar w:fldCharType="begin"/>
            </w:r>
            <w:r>
              <w:rPr>
                <w:noProof/>
                <w:webHidden/>
              </w:rPr>
              <w:instrText xml:space="preserve"> PAGEREF _Toc391985061 \h </w:instrText>
            </w:r>
            <w:r>
              <w:rPr>
                <w:noProof/>
                <w:webHidden/>
              </w:rPr>
            </w:r>
            <w:r>
              <w:rPr>
                <w:noProof/>
                <w:webHidden/>
              </w:rPr>
              <w:fldChar w:fldCharType="separate"/>
            </w:r>
            <w:r w:rsidR="00380BCC">
              <w:rPr>
                <w:noProof/>
                <w:webHidden/>
              </w:rPr>
              <w:t>9</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62" w:history="1">
            <w:r w:rsidRPr="00FF0493">
              <w:rPr>
                <w:rStyle w:val="Hyperlink"/>
                <w:noProof/>
              </w:rPr>
              <w:t>4.3</w:t>
            </w:r>
            <w:r>
              <w:rPr>
                <w:rFonts w:eastAsiaTheme="minorEastAsia" w:cstheme="minorBidi"/>
                <w:noProof/>
                <w:sz w:val="22"/>
                <w:lang w:val="de-AT" w:eastAsia="de-AT"/>
              </w:rPr>
              <w:tab/>
            </w:r>
            <w:r w:rsidRPr="00FF0493">
              <w:rPr>
                <w:rStyle w:val="Hyperlink"/>
                <w:noProof/>
              </w:rPr>
              <w:t>Angaben zum Lebenszyklus für die Ökobilanz</w:t>
            </w:r>
            <w:r>
              <w:rPr>
                <w:noProof/>
                <w:webHidden/>
              </w:rPr>
              <w:tab/>
            </w:r>
            <w:r>
              <w:rPr>
                <w:noProof/>
                <w:webHidden/>
              </w:rPr>
              <w:fldChar w:fldCharType="begin"/>
            </w:r>
            <w:r>
              <w:rPr>
                <w:noProof/>
                <w:webHidden/>
              </w:rPr>
              <w:instrText xml:space="preserve"> PAGEREF _Toc391985062 \h </w:instrText>
            </w:r>
            <w:r>
              <w:rPr>
                <w:noProof/>
                <w:webHidden/>
              </w:rPr>
            </w:r>
            <w:r>
              <w:rPr>
                <w:noProof/>
                <w:webHidden/>
              </w:rPr>
              <w:fldChar w:fldCharType="separate"/>
            </w:r>
            <w:r w:rsidR="00380BCC">
              <w:rPr>
                <w:noProof/>
                <w:webHidden/>
              </w:rPr>
              <w:t>10</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63" w:history="1">
            <w:r w:rsidRPr="00FF0493">
              <w:rPr>
                <w:rStyle w:val="Hyperlink"/>
                <w:noProof/>
              </w:rPr>
              <w:t>4.4</w:t>
            </w:r>
            <w:r>
              <w:rPr>
                <w:rFonts w:eastAsiaTheme="minorEastAsia" w:cstheme="minorBidi"/>
                <w:noProof/>
                <w:sz w:val="22"/>
                <w:lang w:val="de-AT" w:eastAsia="de-AT"/>
              </w:rPr>
              <w:tab/>
            </w:r>
            <w:r w:rsidRPr="00FF0493">
              <w:rPr>
                <w:rStyle w:val="Hyperlink"/>
                <w:noProof/>
              </w:rPr>
              <w:t>Deklaration der Umweltindikatoren</w:t>
            </w:r>
            <w:r>
              <w:rPr>
                <w:noProof/>
                <w:webHidden/>
              </w:rPr>
              <w:tab/>
            </w:r>
            <w:r>
              <w:rPr>
                <w:noProof/>
                <w:webHidden/>
              </w:rPr>
              <w:fldChar w:fldCharType="begin"/>
            </w:r>
            <w:r>
              <w:rPr>
                <w:noProof/>
                <w:webHidden/>
              </w:rPr>
              <w:instrText xml:space="preserve"> PAGEREF _Toc391985063 \h </w:instrText>
            </w:r>
            <w:r>
              <w:rPr>
                <w:noProof/>
                <w:webHidden/>
              </w:rPr>
            </w:r>
            <w:r>
              <w:rPr>
                <w:noProof/>
                <w:webHidden/>
              </w:rPr>
              <w:fldChar w:fldCharType="separate"/>
            </w:r>
            <w:r w:rsidR="00380BCC">
              <w:rPr>
                <w:noProof/>
                <w:webHidden/>
              </w:rPr>
              <w:t>14</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64" w:history="1">
            <w:r w:rsidRPr="00FF0493">
              <w:rPr>
                <w:rStyle w:val="Hyperlink"/>
                <w:noProof/>
              </w:rPr>
              <w:t>4.5</w:t>
            </w:r>
            <w:r>
              <w:rPr>
                <w:rFonts w:eastAsiaTheme="minorEastAsia" w:cstheme="minorBidi"/>
                <w:noProof/>
                <w:sz w:val="22"/>
                <w:lang w:val="de-AT" w:eastAsia="de-AT"/>
              </w:rPr>
              <w:tab/>
            </w:r>
            <w:r w:rsidRPr="00FF0493">
              <w:rPr>
                <w:rStyle w:val="Hyperlink"/>
                <w:noProof/>
              </w:rPr>
              <w:t>Interpretation der LCA-Ergebnisse</w:t>
            </w:r>
            <w:r>
              <w:rPr>
                <w:noProof/>
                <w:webHidden/>
              </w:rPr>
              <w:tab/>
            </w:r>
            <w:r>
              <w:rPr>
                <w:noProof/>
                <w:webHidden/>
              </w:rPr>
              <w:fldChar w:fldCharType="begin"/>
            </w:r>
            <w:r>
              <w:rPr>
                <w:noProof/>
                <w:webHidden/>
              </w:rPr>
              <w:instrText xml:space="preserve"> PAGEREF _Toc391985064 \h </w:instrText>
            </w:r>
            <w:r>
              <w:rPr>
                <w:noProof/>
                <w:webHidden/>
              </w:rPr>
            </w:r>
            <w:r>
              <w:rPr>
                <w:noProof/>
                <w:webHidden/>
              </w:rPr>
              <w:fldChar w:fldCharType="separate"/>
            </w:r>
            <w:r w:rsidR="00380BCC">
              <w:rPr>
                <w:noProof/>
                <w:webHidden/>
              </w:rPr>
              <w:t>16</w:t>
            </w:r>
            <w:r>
              <w:rPr>
                <w:noProof/>
                <w:webHidden/>
              </w:rPr>
              <w:fldChar w:fldCharType="end"/>
            </w:r>
          </w:hyperlink>
        </w:p>
        <w:p w:rsidR="001C619E" w:rsidRDefault="001C619E">
          <w:pPr>
            <w:pStyle w:val="Verzeichnis1"/>
            <w:tabs>
              <w:tab w:val="left" w:pos="360"/>
              <w:tab w:val="right" w:leader="dot" w:pos="9912"/>
            </w:tabs>
            <w:rPr>
              <w:rFonts w:eastAsiaTheme="minorEastAsia" w:cstheme="minorBidi"/>
              <w:noProof/>
              <w:sz w:val="22"/>
              <w:lang w:val="de-AT" w:eastAsia="de-AT"/>
            </w:rPr>
          </w:pPr>
          <w:hyperlink w:anchor="_Toc391985065" w:history="1">
            <w:r w:rsidRPr="00FF0493">
              <w:rPr>
                <w:rStyle w:val="Hyperlink"/>
                <w:rFonts w:cstheme="minorHAnsi"/>
                <w:noProof/>
                <w:snapToGrid w:val="0"/>
                <w:w w:val="0"/>
              </w:rPr>
              <w:t>5.</w:t>
            </w:r>
            <w:r>
              <w:rPr>
                <w:rFonts w:eastAsiaTheme="minorEastAsia" w:cstheme="minorBidi"/>
                <w:noProof/>
                <w:sz w:val="22"/>
                <w:lang w:val="de-AT" w:eastAsia="de-AT"/>
              </w:rPr>
              <w:tab/>
            </w:r>
            <w:r w:rsidRPr="00FF0493">
              <w:rPr>
                <w:rStyle w:val="Hyperlink"/>
                <w:noProof/>
              </w:rPr>
              <w:t>Gefährliche Stoffe und Emissionen in Raumluft und Umwelt</w:t>
            </w:r>
            <w:r>
              <w:rPr>
                <w:noProof/>
                <w:webHidden/>
              </w:rPr>
              <w:tab/>
            </w:r>
            <w:r>
              <w:rPr>
                <w:noProof/>
                <w:webHidden/>
              </w:rPr>
              <w:fldChar w:fldCharType="begin"/>
            </w:r>
            <w:r>
              <w:rPr>
                <w:noProof/>
                <w:webHidden/>
              </w:rPr>
              <w:instrText xml:space="preserve"> PAGEREF _Toc391985065 \h </w:instrText>
            </w:r>
            <w:r>
              <w:rPr>
                <w:noProof/>
                <w:webHidden/>
              </w:rPr>
            </w:r>
            <w:r>
              <w:rPr>
                <w:noProof/>
                <w:webHidden/>
              </w:rPr>
              <w:fldChar w:fldCharType="separate"/>
            </w:r>
            <w:r w:rsidR="00380BCC">
              <w:rPr>
                <w:noProof/>
                <w:webHidden/>
              </w:rPr>
              <w:t>16</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66" w:history="1">
            <w:r w:rsidRPr="00FF0493">
              <w:rPr>
                <w:rStyle w:val="Hyperlink"/>
                <w:noProof/>
              </w:rPr>
              <w:t>5.1</w:t>
            </w:r>
            <w:r>
              <w:rPr>
                <w:rFonts w:eastAsiaTheme="minorEastAsia" w:cstheme="minorBidi"/>
                <w:noProof/>
                <w:sz w:val="22"/>
                <w:lang w:val="de-AT" w:eastAsia="de-AT"/>
              </w:rPr>
              <w:tab/>
            </w:r>
            <w:r w:rsidRPr="00FF0493">
              <w:rPr>
                <w:rStyle w:val="Hyperlink"/>
                <w:noProof/>
              </w:rPr>
              <w:t>Deklaration besonders besorgniserregender Stoffe</w:t>
            </w:r>
            <w:r>
              <w:rPr>
                <w:noProof/>
                <w:webHidden/>
              </w:rPr>
              <w:tab/>
            </w:r>
            <w:r>
              <w:rPr>
                <w:noProof/>
                <w:webHidden/>
              </w:rPr>
              <w:fldChar w:fldCharType="begin"/>
            </w:r>
            <w:r>
              <w:rPr>
                <w:noProof/>
                <w:webHidden/>
              </w:rPr>
              <w:instrText xml:space="preserve"> PAGEREF _Toc391985066 \h </w:instrText>
            </w:r>
            <w:r>
              <w:rPr>
                <w:noProof/>
                <w:webHidden/>
              </w:rPr>
            </w:r>
            <w:r>
              <w:rPr>
                <w:noProof/>
                <w:webHidden/>
              </w:rPr>
              <w:fldChar w:fldCharType="separate"/>
            </w:r>
            <w:r w:rsidR="00380BCC">
              <w:rPr>
                <w:noProof/>
                <w:webHidden/>
              </w:rPr>
              <w:t>16</w:t>
            </w:r>
            <w:r>
              <w:rPr>
                <w:noProof/>
                <w:webHidden/>
              </w:rPr>
              <w:fldChar w:fldCharType="end"/>
            </w:r>
          </w:hyperlink>
        </w:p>
        <w:p w:rsidR="001C619E" w:rsidRDefault="001C619E">
          <w:pPr>
            <w:pStyle w:val="Verzeichnis1"/>
            <w:tabs>
              <w:tab w:val="left" w:pos="360"/>
              <w:tab w:val="right" w:leader="dot" w:pos="9912"/>
            </w:tabs>
            <w:rPr>
              <w:rFonts w:eastAsiaTheme="minorEastAsia" w:cstheme="minorBidi"/>
              <w:noProof/>
              <w:sz w:val="22"/>
              <w:lang w:val="de-AT" w:eastAsia="de-AT"/>
            </w:rPr>
          </w:pPr>
          <w:hyperlink w:anchor="_Toc391985067" w:history="1">
            <w:r w:rsidRPr="00FF0493">
              <w:rPr>
                <w:rStyle w:val="Hyperlink"/>
                <w:rFonts w:cstheme="minorHAnsi"/>
                <w:noProof/>
                <w:snapToGrid w:val="0"/>
                <w:w w:val="0"/>
              </w:rPr>
              <w:t>6.</w:t>
            </w:r>
            <w:r>
              <w:rPr>
                <w:rFonts w:eastAsiaTheme="minorEastAsia" w:cstheme="minorBidi"/>
                <w:noProof/>
                <w:sz w:val="22"/>
                <w:lang w:val="de-AT" w:eastAsia="de-AT"/>
              </w:rPr>
              <w:tab/>
            </w:r>
            <w:r w:rsidRPr="00FF0493">
              <w:rPr>
                <w:rStyle w:val="Hyperlink"/>
                <w:noProof/>
              </w:rPr>
              <w:t>Literaturhinweise</w:t>
            </w:r>
            <w:r>
              <w:rPr>
                <w:noProof/>
                <w:webHidden/>
              </w:rPr>
              <w:tab/>
            </w:r>
            <w:r>
              <w:rPr>
                <w:noProof/>
                <w:webHidden/>
              </w:rPr>
              <w:fldChar w:fldCharType="begin"/>
            </w:r>
            <w:r>
              <w:rPr>
                <w:noProof/>
                <w:webHidden/>
              </w:rPr>
              <w:instrText xml:space="preserve"> PAGEREF _Toc391985067 \h </w:instrText>
            </w:r>
            <w:r>
              <w:rPr>
                <w:noProof/>
                <w:webHidden/>
              </w:rPr>
            </w:r>
            <w:r>
              <w:rPr>
                <w:noProof/>
                <w:webHidden/>
              </w:rPr>
              <w:fldChar w:fldCharType="separate"/>
            </w:r>
            <w:r w:rsidR="00380BCC">
              <w:rPr>
                <w:noProof/>
                <w:webHidden/>
              </w:rPr>
              <w:t>17</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68" w:history="1">
            <w:r w:rsidRPr="00FF0493">
              <w:rPr>
                <w:rStyle w:val="Hyperlink"/>
                <w:noProof/>
              </w:rPr>
              <w:t>6.1</w:t>
            </w:r>
            <w:r>
              <w:rPr>
                <w:rFonts w:eastAsiaTheme="minorEastAsia" w:cstheme="minorBidi"/>
                <w:noProof/>
                <w:sz w:val="22"/>
                <w:lang w:val="de-AT" w:eastAsia="de-AT"/>
              </w:rPr>
              <w:tab/>
            </w:r>
            <w:r w:rsidRPr="00FF0493">
              <w:rPr>
                <w:rStyle w:val="Hyperlink"/>
                <w:noProof/>
              </w:rPr>
              <w:t>Literaturhinweise in der EPD</w:t>
            </w:r>
            <w:r>
              <w:rPr>
                <w:noProof/>
                <w:webHidden/>
              </w:rPr>
              <w:tab/>
            </w:r>
            <w:r>
              <w:rPr>
                <w:noProof/>
                <w:webHidden/>
              </w:rPr>
              <w:fldChar w:fldCharType="begin"/>
            </w:r>
            <w:r>
              <w:rPr>
                <w:noProof/>
                <w:webHidden/>
              </w:rPr>
              <w:instrText xml:space="preserve"> PAGEREF _Toc391985068 \h </w:instrText>
            </w:r>
            <w:r>
              <w:rPr>
                <w:noProof/>
                <w:webHidden/>
              </w:rPr>
            </w:r>
            <w:r>
              <w:rPr>
                <w:noProof/>
                <w:webHidden/>
              </w:rPr>
              <w:fldChar w:fldCharType="separate"/>
            </w:r>
            <w:r w:rsidR="00380BCC">
              <w:rPr>
                <w:noProof/>
                <w:webHidden/>
              </w:rPr>
              <w:t>17</w:t>
            </w:r>
            <w:r>
              <w:rPr>
                <w:noProof/>
                <w:webHidden/>
              </w:rPr>
              <w:fldChar w:fldCharType="end"/>
            </w:r>
          </w:hyperlink>
        </w:p>
        <w:p w:rsidR="001C619E" w:rsidRDefault="001C619E">
          <w:pPr>
            <w:pStyle w:val="Verzeichnis2"/>
            <w:tabs>
              <w:tab w:val="left" w:pos="660"/>
              <w:tab w:val="right" w:leader="dot" w:pos="9912"/>
            </w:tabs>
            <w:rPr>
              <w:rFonts w:eastAsiaTheme="minorEastAsia" w:cstheme="minorBidi"/>
              <w:noProof/>
              <w:sz w:val="22"/>
              <w:lang w:val="de-AT" w:eastAsia="de-AT"/>
            </w:rPr>
          </w:pPr>
          <w:hyperlink w:anchor="_Toc391985069" w:history="1">
            <w:r w:rsidRPr="00FF0493">
              <w:rPr>
                <w:rStyle w:val="Hyperlink"/>
                <w:noProof/>
              </w:rPr>
              <w:t>6.2</w:t>
            </w:r>
            <w:r>
              <w:rPr>
                <w:rFonts w:eastAsiaTheme="minorEastAsia" w:cstheme="minorBidi"/>
                <w:noProof/>
                <w:sz w:val="22"/>
                <w:lang w:val="de-AT" w:eastAsia="de-AT"/>
              </w:rPr>
              <w:tab/>
            </w:r>
            <w:r w:rsidRPr="00FF0493">
              <w:rPr>
                <w:rStyle w:val="Hyperlink"/>
                <w:noProof/>
              </w:rPr>
              <w:t>Literaturverzeichnis zur PKR</w:t>
            </w:r>
            <w:r>
              <w:rPr>
                <w:noProof/>
                <w:webHidden/>
              </w:rPr>
              <w:tab/>
            </w:r>
            <w:r>
              <w:rPr>
                <w:noProof/>
                <w:webHidden/>
              </w:rPr>
              <w:fldChar w:fldCharType="begin"/>
            </w:r>
            <w:r>
              <w:rPr>
                <w:noProof/>
                <w:webHidden/>
              </w:rPr>
              <w:instrText xml:space="preserve"> PAGEREF _Toc391985069 \h </w:instrText>
            </w:r>
            <w:r>
              <w:rPr>
                <w:noProof/>
                <w:webHidden/>
              </w:rPr>
            </w:r>
            <w:r>
              <w:rPr>
                <w:noProof/>
                <w:webHidden/>
              </w:rPr>
              <w:fldChar w:fldCharType="separate"/>
            </w:r>
            <w:r w:rsidR="00380BCC">
              <w:rPr>
                <w:noProof/>
                <w:webHidden/>
              </w:rPr>
              <w:t>17</w:t>
            </w:r>
            <w:r>
              <w:rPr>
                <w:noProof/>
                <w:webHidden/>
              </w:rPr>
              <w:fldChar w:fldCharType="end"/>
            </w:r>
          </w:hyperlink>
        </w:p>
        <w:p w:rsidR="00FB5D78" w:rsidRDefault="008F14A7" w:rsidP="00FB5D78">
          <w:r w:rsidRPr="00C54C12">
            <w:rPr>
              <w:color w:val="17365D" w:themeColor="text2" w:themeShade="BF"/>
            </w:rPr>
            <w:fldChar w:fldCharType="end"/>
          </w:r>
        </w:p>
      </w:sdtContent>
    </w:sdt>
    <w:p w:rsidR="003E2381" w:rsidRDefault="003E2381">
      <w:pPr>
        <w:spacing w:after="200"/>
        <w:jc w:val="left"/>
        <w:rPr>
          <w:b/>
          <w:bCs/>
          <w:sz w:val="24"/>
          <w:szCs w:val="28"/>
        </w:rPr>
      </w:pPr>
      <w:r>
        <w:br w:type="page"/>
      </w:r>
    </w:p>
    <w:p w:rsidR="00264EB9" w:rsidRPr="00A43ADA" w:rsidRDefault="00264EB9" w:rsidP="00FB5D78">
      <w:pPr>
        <w:pStyle w:val="berschriftohneZahl"/>
      </w:pPr>
      <w:bookmarkStart w:id="2" w:name="_Toc391985043"/>
      <w:r w:rsidRPr="00A43ADA">
        <w:lastRenderedPageBreak/>
        <w:t>Geltungsbereich</w:t>
      </w:r>
      <w:bookmarkEnd w:id="2"/>
    </w:p>
    <w:p w:rsidR="00350CC4" w:rsidRDefault="00350CC4" w:rsidP="00350CC4">
      <w:r w:rsidRPr="00AD1C49">
        <w:t xml:space="preserve">Dieses Dokument enthält die </w:t>
      </w:r>
      <w:r w:rsidRPr="00AD1C49">
        <w:rPr>
          <w:b/>
        </w:rPr>
        <w:t>Anforderungen an eine Umwelt-Produktdeklaration (EPD)</w:t>
      </w:r>
      <w:r w:rsidRPr="00AD1C49">
        <w:t xml:space="preserve"> der Bau-EPD GmbH für Bauprodukte basierend auf der </w:t>
      </w:r>
      <w:r>
        <w:t>ÖNORM</w:t>
      </w:r>
      <w:r w:rsidRPr="00AD1C49">
        <w:t xml:space="preserve"> EN 15804. </w:t>
      </w:r>
    </w:p>
    <w:p w:rsidR="00350CC4" w:rsidRPr="008B0647" w:rsidRDefault="00350CC4" w:rsidP="00350CC4">
      <w:r w:rsidRPr="008B0647">
        <w:t xml:space="preserve">Dieses Dokument gilt – bis zur Erweiterung </w:t>
      </w:r>
      <w:r>
        <w:t>um</w:t>
      </w:r>
      <w:r w:rsidRPr="008B0647">
        <w:t xml:space="preserve"> weitere Produktkategorien – für folgende Dämmstoffe aus nachwachsenden Rohstoffen:</w:t>
      </w:r>
    </w:p>
    <w:p w:rsidR="00350CC4" w:rsidRDefault="00350CC4" w:rsidP="00350CC4">
      <w:pPr>
        <w:pStyle w:val="Aufzhlung"/>
      </w:pPr>
      <w:r w:rsidRPr="008B0647">
        <w:t>Strohballen für die Wärmedämmung</w:t>
      </w:r>
    </w:p>
    <w:p w:rsidR="00350CC4" w:rsidRPr="00AD1C49" w:rsidRDefault="00350CC4" w:rsidP="00350CC4">
      <w:pPr>
        <w:pStyle w:val="StandardAbs"/>
      </w:pPr>
      <w:r w:rsidRPr="00AD1C49">
        <w:t>Die Anforderungen an die EPD umfassen:</w:t>
      </w:r>
    </w:p>
    <w:p w:rsidR="00350CC4" w:rsidRPr="00AD1C49" w:rsidRDefault="00350CC4" w:rsidP="00350CC4">
      <w:pPr>
        <w:pStyle w:val="Aufzhlung"/>
      </w:pPr>
      <w:r w:rsidRPr="00AD1C49">
        <w:t xml:space="preserve">Anforderungen aus der </w:t>
      </w:r>
      <w:r>
        <w:t>ÖNORM</w:t>
      </w:r>
      <w:r w:rsidRPr="00AD1C49">
        <w:t xml:space="preserve"> EN 15804 als Europäische Kern-EPD</w:t>
      </w:r>
    </w:p>
    <w:p w:rsidR="00350CC4" w:rsidRPr="00AD1C49" w:rsidRDefault="00350CC4" w:rsidP="00350CC4">
      <w:pPr>
        <w:pStyle w:val="Aufzhlung"/>
      </w:pPr>
      <w:r w:rsidRPr="00AD1C49">
        <w:t xml:space="preserve">Komplementäre </w:t>
      </w:r>
      <w:r w:rsidRPr="00263004">
        <w:t>Anforderungen an EPD der B</w:t>
      </w:r>
      <w:r>
        <w:t xml:space="preserve">au </w:t>
      </w:r>
      <w:r w:rsidRPr="00263004">
        <w:t>EPD GmbH</w:t>
      </w:r>
    </w:p>
    <w:p w:rsidR="00350CC4" w:rsidRPr="001C696E" w:rsidRDefault="00350CC4" w:rsidP="00350CC4">
      <w:r w:rsidRPr="00AD1C49">
        <w:t>Die Rechenregeln für die Ökobilanz und Anforderungen an den Hintergrundbericht sind im Dokument „Allgemeine Regeln für Ökobilanzen</w:t>
      </w:r>
      <w:r>
        <w:t xml:space="preserve"> und Anforderungen an den Hintergrundbericht – PKR-Teil A</w:t>
      </w:r>
      <w:r w:rsidRPr="00AD1C49">
        <w:t xml:space="preserve">“ der </w:t>
      </w:r>
      <w:r w:rsidRPr="0040569F">
        <w:t xml:space="preserve">Bau EPD GmbH </w:t>
      </w:r>
      <w:r w:rsidRPr="00AD1C49">
        <w:t xml:space="preserve">festgelegt. Zusätzlich gilt das Basisdokument für das EPD-Programm der </w:t>
      </w:r>
      <w:r w:rsidRPr="0040569F">
        <w:t>Bau EPD GmbH</w:t>
      </w:r>
      <w:r>
        <w:t>.</w:t>
      </w:r>
    </w:p>
    <w:p w:rsidR="00CB3C0B" w:rsidRDefault="00CB3C0B" w:rsidP="00F36433">
      <w:pPr>
        <w:pStyle w:val="berschrift1"/>
      </w:pPr>
      <w:bookmarkStart w:id="3" w:name="_Toc391985044"/>
      <w:r w:rsidRPr="00A43ADA">
        <w:t>Produkt- / Systembeschreibung</w:t>
      </w:r>
      <w:bookmarkEnd w:id="3"/>
    </w:p>
    <w:p w:rsidR="00F36433" w:rsidRPr="00F36433" w:rsidRDefault="00F36433" w:rsidP="00864EEF">
      <w:pPr>
        <w:pStyle w:val="StandardAbs"/>
      </w:pPr>
    </w:p>
    <w:p w:rsidR="00CB3C0B" w:rsidRDefault="00DE110E" w:rsidP="00F36433">
      <w:pPr>
        <w:pStyle w:val="berschrift2"/>
      </w:pPr>
      <w:bookmarkStart w:id="4" w:name="_Toc391985045"/>
      <w:r w:rsidRPr="00AC7903">
        <w:t xml:space="preserve">Allgemeine </w:t>
      </w:r>
      <w:r w:rsidR="00CB3C0B" w:rsidRPr="00AC7903">
        <w:t>Produktbeschreibung</w:t>
      </w:r>
      <w:bookmarkEnd w:id="4"/>
    </w:p>
    <w:p w:rsidR="00F36433" w:rsidRPr="00F36433" w:rsidRDefault="00F36433" w:rsidP="00F36433"/>
    <w:p w:rsidR="00FB5D78" w:rsidRDefault="00FB5D78" w:rsidP="00FB5D78">
      <w:r>
        <w:t>Orientierungspunkte für die allgemeine Produktbeschreibung:</w:t>
      </w:r>
    </w:p>
    <w:p w:rsidR="00FB5D78" w:rsidRDefault="00FB5D78" w:rsidP="00FB5D78">
      <w:pPr>
        <w:pStyle w:val="Listenabsatz"/>
        <w:numPr>
          <w:ilvl w:val="0"/>
          <w:numId w:val="8"/>
        </w:numPr>
      </w:pPr>
      <w:r w:rsidRPr="00FB5D78">
        <w:t xml:space="preserve">Beschreibung der charakteristischen Bestandteile </w:t>
      </w:r>
    </w:p>
    <w:p w:rsidR="00F36433" w:rsidRPr="00FB5D78" w:rsidRDefault="00F36433" w:rsidP="00F36433">
      <w:pPr>
        <w:pStyle w:val="Listenabsatz"/>
      </w:pPr>
    </w:p>
    <w:p w:rsidR="00CB3C0B" w:rsidRPr="00AC7903" w:rsidRDefault="00AC28E6" w:rsidP="00F36433">
      <w:pPr>
        <w:pStyle w:val="berschrift2"/>
      </w:pPr>
      <w:bookmarkStart w:id="5" w:name="_Toc391985046"/>
      <w:r w:rsidRPr="00AC7903">
        <w:t xml:space="preserve">Inverkehrbringen und </w:t>
      </w:r>
      <w:r w:rsidR="00FB5D78" w:rsidRPr="00AC7903">
        <w:t>Bereitstellung auf dem Markt</w:t>
      </w:r>
      <w:bookmarkEnd w:id="5"/>
    </w:p>
    <w:p w:rsidR="00581AFC" w:rsidRDefault="00581AFC" w:rsidP="00581AFC">
      <w:pPr>
        <w:pStyle w:val="StandardAbs"/>
      </w:pPr>
      <w:r w:rsidRPr="00991A20">
        <w:t xml:space="preserve">Da </w:t>
      </w:r>
      <w:r>
        <w:t>für die in dieser PCR behandelten Dämmstoffe keine harmonisierten europäischen Normen vorliegen, ist eine CE-Kennzeichnung nur freiwillig auf Basis einer Europäischen technischen Bewertung möglich. In diesem Fall ist die Angabe folgender Punkte erforderlich:</w:t>
      </w:r>
    </w:p>
    <w:p w:rsidR="00581AFC" w:rsidRPr="00A1636C" w:rsidRDefault="00581AFC" w:rsidP="00581AFC">
      <w:pPr>
        <w:numPr>
          <w:ilvl w:val="1"/>
          <w:numId w:val="2"/>
        </w:numPr>
        <w:tabs>
          <w:tab w:val="left" w:pos="2477"/>
        </w:tabs>
        <w:autoSpaceDE w:val="0"/>
        <w:autoSpaceDN w:val="0"/>
        <w:adjustRightInd w:val="0"/>
        <w:spacing w:before="120" w:after="120"/>
        <w:contextualSpacing/>
        <w:rPr>
          <w:color w:val="000000"/>
          <w:lang w:val="de-CH"/>
        </w:rPr>
      </w:pPr>
      <w:r w:rsidRPr="00A1636C">
        <w:rPr>
          <w:color w:val="000000"/>
          <w:lang w:val="de-CH"/>
        </w:rPr>
        <w:t>ET</w:t>
      </w:r>
      <w:r>
        <w:rPr>
          <w:color w:val="000000"/>
          <w:lang w:val="de-CH"/>
        </w:rPr>
        <w:t>B</w:t>
      </w:r>
      <w:r w:rsidRPr="00A1636C">
        <w:rPr>
          <w:color w:val="000000"/>
          <w:lang w:val="de-CH"/>
        </w:rPr>
        <w:t xml:space="preserve"> (z.B.: ET</w:t>
      </w:r>
      <w:r>
        <w:rPr>
          <w:color w:val="000000"/>
          <w:lang w:val="de-CH"/>
        </w:rPr>
        <w:t>B</w:t>
      </w:r>
      <w:r w:rsidRPr="00A1636C">
        <w:rPr>
          <w:color w:val="000000"/>
          <w:lang w:val="de-CH"/>
        </w:rPr>
        <w:t>-</w:t>
      </w:r>
      <w:r>
        <w:rPr>
          <w:color w:val="000000"/>
          <w:lang w:val="de-CH"/>
        </w:rPr>
        <w:t>xx</w:t>
      </w:r>
      <w:r w:rsidRPr="00A1636C">
        <w:rPr>
          <w:color w:val="000000"/>
          <w:lang w:val="de-CH"/>
        </w:rPr>
        <w:t>/</w:t>
      </w:r>
      <w:proofErr w:type="spellStart"/>
      <w:r>
        <w:rPr>
          <w:color w:val="000000"/>
          <w:lang w:val="de-CH"/>
        </w:rPr>
        <w:t>xxxx</w:t>
      </w:r>
      <w:proofErr w:type="spellEnd"/>
      <w:r w:rsidRPr="00A1636C">
        <w:rPr>
          <w:color w:val="000000"/>
          <w:lang w:val="de-CH"/>
        </w:rPr>
        <w:t xml:space="preserve"> Dämmstoffe aus </w:t>
      </w:r>
      <w:r>
        <w:rPr>
          <w:color w:val="000000"/>
          <w:lang w:val="de-CH"/>
        </w:rPr>
        <w:t>y</w:t>
      </w:r>
      <w:r w:rsidRPr="00A1636C">
        <w:rPr>
          <w:color w:val="000000"/>
          <w:lang w:val="de-CH"/>
        </w:rPr>
        <w:t>)</w:t>
      </w:r>
    </w:p>
    <w:p w:rsidR="00581AFC" w:rsidRDefault="00581AFC" w:rsidP="00581AFC">
      <w:pPr>
        <w:numPr>
          <w:ilvl w:val="1"/>
          <w:numId w:val="2"/>
        </w:numPr>
        <w:tabs>
          <w:tab w:val="left" w:pos="2477"/>
        </w:tabs>
        <w:autoSpaceDE w:val="0"/>
        <w:autoSpaceDN w:val="0"/>
        <w:adjustRightInd w:val="0"/>
        <w:spacing w:before="120" w:after="120"/>
        <w:contextualSpacing/>
        <w:rPr>
          <w:color w:val="000000"/>
          <w:lang w:val="de-CH"/>
        </w:rPr>
      </w:pPr>
      <w:r w:rsidRPr="00A1636C">
        <w:rPr>
          <w:color w:val="000000"/>
          <w:lang w:val="de-CH"/>
        </w:rPr>
        <w:t>Leistungserklärung</w:t>
      </w:r>
    </w:p>
    <w:p w:rsidR="00581AFC" w:rsidRPr="00A1636C" w:rsidRDefault="00581AFC" w:rsidP="00581AFC">
      <w:pPr>
        <w:numPr>
          <w:ilvl w:val="1"/>
          <w:numId w:val="2"/>
        </w:numPr>
        <w:tabs>
          <w:tab w:val="left" w:pos="2477"/>
        </w:tabs>
        <w:autoSpaceDE w:val="0"/>
        <w:autoSpaceDN w:val="0"/>
        <w:adjustRightInd w:val="0"/>
        <w:spacing w:before="120" w:after="120"/>
        <w:contextualSpacing/>
        <w:rPr>
          <w:color w:val="000000"/>
          <w:lang w:val="de-CH"/>
        </w:rPr>
      </w:pPr>
      <w:r>
        <w:rPr>
          <w:color w:val="000000"/>
          <w:lang w:val="de-CH"/>
        </w:rPr>
        <w:t xml:space="preserve">und falls das Produkt in System 1 fällt, auch das </w:t>
      </w:r>
      <w:r w:rsidRPr="00A1636C">
        <w:rPr>
          <w:color w:val="000000"/>
          <w:lang w:val="de-CH"/>
        </w:rPr>
        <w:t xml:space="preserve">EG-Zertifikat der Leistungsbeständigkeit </w:t>
      </w:r>
    </w:p>
    <w:p w:rsidR="00E33F5E" w:rsidRDefault="00581AFC" w:rsidP="00581AFC">
      <w:pPr>
        <w:pStyle w:val="StandardAbs"/>
      </w:pPr>
      <w:r w:rsidRPr="00AC7903">
        <w:t xml:space="preserve">Optional: Vorliegende Nachweise für nationale Anforderungen wie z.B. für Deutschland die Allgemeine bauaufsichtliche Zulassungen des </w:t>
      </w:r>
      <w:r>
        <w:t>Deutschen Instituts für Bautechnik</w:t>
      </w:r>
      <w:r w:rsidRPr="00AC7903">
        <w:t xml:space="preserve"> </w:t>
      </w:r>
      <w:r>
        <w:t>(</w:t>
      </w:r>
      <w:proofErr w:type="spellStart"/>
      <w:r w:rsidRPr="00AC7903">
        <w:t>DIBt</w:t>
      </w:r>
      <w:proofErr w:type="spellEnd"/>
      <w:r>
        <w:t>)</w:t>
      </w:r>
      <w:r w:rsidRPr="00AC7903">
        <w:t xml:space="preserve"> für </w:t>
      </w:r>
      <w:r>
        <w:t xml:space="preserve">„Wärmedämmstoffe aus </w:t>
      </w:r>
      <w:proofErr w:type="spellStart"/>
      <w:r>
        <w:t>Baustroh</w:t>
      </w:r>
      <w:proofErr w:type="spellEnd"/>
      <w:r>
        <w:t>“</w:t>
      </w:r>
      <w:r w:rsidRPr="003B1B4B">
        <w:t xml:space="preserve"> </w:t>
      </w:r>
      <w:r w:rsidRPr="00AC7903">
        <w:t>können unter Nennung der Zulassungsnummer angeführt werden.</w:t>
      </w:r>
    </w:p>
    <w:p w:rsidR="00581AFC" w:rsidRPr="00581AFC" w:rsidRDefault="00581AFC" w:rsidP="00581AFC">
      <w:pPr>
        <w:pStyle w:val="StandardAbs"/>
      </w:pPr>
    </w:p>
    <w:p w:rsidR="00FB5D78" w:rsidRDefault="00FB5D78" w:rsidP="00F36433">
      <w:pPr>
        <w:pStyle w:val="berschrift2"/>
      </w:pPr>
      <w:bookmarkStart w:id="6" w:name="_Toc391985047"/>
      <w:r w:rsidRPr="00AC7903">
        <w:t>Anwendungsbereiche</w:t>
      </w:r>
      <w:bookmarkEnd w:id="6"/>
    </w:p>
    <w:p w:rsidR="00581AFC" w:rsidRDefault="00581AFC" w:rsidP="00581AFC">
      <w:pPr>
        <w:pStyle w:val="StandardAbs"/>
      </w:pPr>
      <w:r>
        <w:t>Für die Produkte sind die Anwendungsbereiche anzugeben (z.B.: Kerndämmung von zweischaligem Mauerwerk, Zwischensparren</w:t>
      </w:r>
      <w:r>
        <w:softHyphen/>
        <w:t>dämmung).</w:t>
      </w:r>
    </w:p>
    <w:p w:rsidR="00F36433" w:rsidRDefault="00F36433" w:rsidP="00AC7903">
      <w:pPr>
        <w:pStyle w:val="StandardAbs"/>
      </w:pPr>
    </w:p>
    <w:p w:rsidR="00CB3C0B" w:rsidRDefault="00CB3C0B" w:rsidP="00F36433">
      <w:pPr>
        <w:pStyle w:val="berschrift2"/>
      </w:pPr>
      <w:bookmarkStart w:id="7" w:name="_Toc391985048"/>
      <w:r w:rsidRPr="00A80BE1">
        <w:t>Technische Daten</w:t>
      </w:r>
      <w:bookmarkEnd w:id="7"/>
      <w:r w:rsidR="00CB5625">
        <w:t xml:space="preserve"> </w:t>
      </w:r>
    </w:p>
    <w:p w:rsidR="00F36433" w:rsidRPr="00F36433" w:rsidRDefault="00F36433" w:rsidP="00F36433"/>
    <w:p w:rsidR="00581AFC" w:rsidRDefault="00581AFC" w:rsidP="00581AFC">
      <w:pPr>
        <w:pStyle w:val="StandardAbs"/>
      </w:pPr>
      <w:bookmarkStart w:id="8" w:name="EPDEdit_2_3_techn_Daten_Intro"/>
      <w:bookmarkStart w:id="9" w:name="PCR_2_3_Bautechnische_Daten_Intro"/>
      <w:r>
        <w:t>Die in Tabelle 1 angeführten technischen Daten des Produkts sind anzugeben:</w:t>
      </w:r>
    </w:p>
    <w:p w:rsidR="00581AFC" w:rsidRPr="00586615" w:rsidRDefault="00581AFC" w:rsidP="00581AFC">
      <w:pPr>
        <w:pStyle w:val="Beschriftung"/>
        <w:keepNext/>
      </w:pPr>
      <w:r>
        <w:lastRenderedPageBreak/>
        <w:t xml:space="preserve">Tabelle </w:t>
      </w:r>
      <w:fldSimple w:instr=" SEQ Tabelle \* ARABIC ">
        <w:r w:rsidR="00380BCC">
          <w:rPr>
            <w:noProof/>
          </w:rPr>
          <w:t>1</w:t>
        </w:r>
      </w:fldSimple>
      <w:r>
        <w:t xml:space="preserve">: </w:t>
      </w:r>
      <w:r w:rsidRPr="00586615">
        <w:t>Technische Daten de</w:t>
      </w:r>
      <w:r>
        <w:t>r</w:t>
      </w:r>
      <w:r w:rsidRPr="00586615">
        <w:t xml:space="preserve"> deklarierten </w:t>
      </w:r>
      <w:r>
        <w:t>Strohballendämmung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4A0" w:firstRow="1" w:lastRow="0" w:firstColumn="1" w:lastColumn="0" w:noHBand="0" w:noVBand="1"/>
      </w:tblPr>
      <w:tblGrid>
        <w:gridCol w:w="6764"/>
        <w:gridCol w:w="1584"/>
        <w:gridCol w:w="1584"/>
      </w:tblGrid>
      <w:tr w:rsidR="00581AFC" w:rsidRPr="00AE752A" w:rsidTr="008D0D12">
        <w:tc>
          <w:tcPr>
            <w:tcW w:w="676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rsidR="00581AFC" w:rsidRPr="00AE752A" w:rsidRDefault="00581AFC" w:rsidP="008D0D12">
            <w:pPr>
              <w:keepNext/>
              <w:ind w:left="147"/>
              <w:rPr>
                <w:rFonts w:cs="Times New Roman"/>
                <w:b/>
                <w:color w:val="17365D" w:themeColor="text2" w:themeShade="BF"/>
              </w:rPr>
            </w:pPr>
            <w:r w:rsidRPr="00AE752A">
              <w:rPr>
                <w:b/>
                <w:color w:val="17365D" w:themeColor="text2" w:themeShade="BF"/>
              </w:rPr>
              <w:t>Bezeichnung</w:t>
            </w:r>
          </w:p>
        </w:tc>
        <w:tc>
          <w:tcPr>
            <w:tcW w:w="158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rsidR="00581AFC" w:rsidRPr="00AE752A" w:rsidRDefault="00581AFC" w:rsidP="008D0D12">
            <w:pPr>
              <w:keepNext/>
              <w:jc w:val="center"/>
              <w:rPr>
                <w:b/>
                <w:color w:val="17365D" w:themeColor="text2" w:themeShade="BF"/>
              </w:rPr>
            </w:pPr>
            <w:r>
              <w:rPr>
                <w:b/>
                <w:color w:val="17365D" w:themeColor="text2" w:themeShade="BF"/>
              </w:rPr>
              <w:t>Wert</w:t>
            </w:r>
          </w:p>
        </w:tc>
        <w:tc>
          <w:tcPr>
            <w:tcW w:w="158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rsidR="00581AFC" w:rsidRPr="00AE752A" w:rsidRDefault="00581AFC" w:rsidP="008D0D12">
            <w:pPr>
              <w:keepNext/>
              <w:jc w:val="center"/>
              <w:rPr>
                <w:b/>
                <w:color w:val="17365D" w:themeColor="text2" w:themeShade="BF"/>
              </w:rPr>
            </w:pPr>
            <w:r w:rsidRPr="00AE752A">
              <w:rPr>
                <w:b/>
                <w:color w:val="17365D" w:themeColor="text2" w:themeShade="BF"/>
              </w:rPr>
              <w:t>Einheit</w:t>
            </w:r>
          </w:p>
        </w:tc>
      </w:tr>
      <w:tr w:rsidR="00581AFC" w:rsidRPr="004778CC" w:rsidTr="008D0D12">
        <w:tc>
          <w:tcPr>
            <w:tcW w:w="67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Pr="00671E41" w:rsidRDefault="00581AFC" w:rsidP="008D0D12">
            <w:pPr>
              <w:keepNext/>
              <w:ind w:left="147"/>
            </w:pPr>
            <w:r>
              <w:rPr>
                <w:spacing w:val="-4"/>
              </w:rPr>
              <w:t>Nenndichte</w:t>
            </w:r>
            <w:r w:rsidRPr="00671E41">
              <w:rPr>
                <w:spacing w:val="-4"/>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Pr="00671E41" w:rsidRDefault="00581AFC" w:rsidP="008D0D12">
            <w:pPr>
              <w:keepNext/>
              <w:jc w:val="center"/>
              <w:rPr>
                <w:spacing w:val="-4"/>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Pr="00DA141B" w:rsidRDefault="00581AFC" w:rsidP="008D0D12">
            <w:pPr>
              <w:keepNext/>
              <w:jc w:val="center"/>
              <w:rPr>
                <w:spacing w:val="-4"/>
              </w:rPr>
            </w:pPr>
            <w:r w:rsidRPr="00671E41">
              <w:t>kg/m</w:t>
            </w:r>
            <w:r w:rsidRPr="00671E41">
              <w:rPr>
                <w:vertAlign w:val="superscript"/>
              </w:rPr>
              <w:t>3</w:t>
            </w:r>
          </w:p>
        </w:tc>
      </w:tr>
      <w:tr w:rsidR="00581AFC" w:rsidRPr="004778CC" w:rsidTr="008D0D12">
        <w:tc>
          <w:tcPr>
            <w:tcW w:w="67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Default="00581AFC" w:rsidP="008D0D12">
            <w:pPr>
              <w:keepNext/>
              <w:ind w:left="147"/>
              <w:rPr>
                <w:spacing w:val="-4"/>
              </w:rPr>
            </w:pPr>
            <w:r>
              <w:rPr>
                <w:spacing w:val="-4"/>
              </w:rPr>
              <w:t>Dichtebereich</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Pr="00671E41" w:rsidRDefault="00581AFC" w:rsidP="008D0D12">
            <w:pPr>
              <w:keepNext/>
              <w:jc w:val="center"/>
              <w:rPr>
                <w:spacing w:val="-4"/>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Pr="00671E41" w:rsidRDefault="00581AFC" w:rsidP="008D0D12">
            <w:pPr>
              <w:keepNext/>
              <w:jc w:val="center"/>
            </w:pPr>
            <w:r w:rsidRPr="00671E41">
              <w:t>kg/m</w:t>
            </w:r>
            <w:r w:rsidRPr="00671E41">
              <w:rPr>
                <w:vertAlign w:val="superscript"/>
              </w:rPr>
              <w:t>3</w:t>
            </w:r>
          </w:p>
        </w:tc>
      </w:tr>
      <w:tr w:rsidR="00581AFC" w:rsidTr="008D0D12">
        <w:tc>
          <w:tcPr>
            <w:tcW w:w="67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Default="00581AFC" w:rsidP="008D0D12">
            <w:pPr>
              <w:keepNext/>
              <w:ind w:left="147"/>
              <w:rPr>
                <w:spacing w:val="-4"/>
              </w:rPr>
            </w:pPr>
            <w:r>
              <w:rPr>
                <w:spacing w:val="-4"/>
              </w:rPr>
              <w:t xml:space="preserve">Nennwert der Wärmeleitfähigkeit </w:t>
            </w:r>
            <w:proofErr w:type="spellStart"/>
            <w:r w:rsidRPr="004778CC">
              <w:rPr>
                <w:spacing w:val="-4"/>
              </w:rPr>
              <w:t>λ</w:t>
            </w:r>
            <w:r w:rsidRPr="004778CC">
              <w:rPr>
                <w:spacing w:val="-4"/>
                <w:vertAlign w:val="subscript"/>
              </w:rPr>
              <w:t>D</w:t>
            </w:r>
            <w:proofErr w:type="spellEnd"/>
            <w:r>
              <w:rPr>
                <w:spacing w:val="-4"/>
              </w:rPr>
              <w:t xml:space="preserve"> unter Angabe der Prüfgeometrie</w:t>
            </w:r>
            <w:r w:rsidRPr="006C66A4">
              <w:rPr>
                <w:spacing w:val="-4"/>
                <w:vertAlign w:val="superscript"/>
              </w:rPr>
              <w:t>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Default="00581AFC" w:rsidP="008D0D12">
            <w:pPr>
              <w:keepNext/>
              <w:jc w:val="center"/>
              <w:rPr>
                <w:spacing w:val="-4"/>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Default="00581AFC" w:rsidP="008D0D12">
            <w:pPr>
              <w:keepNext/>
              <w:jc w:val="center"/>
            </w:pPr>
            <w:r w:rsidRPr="004778CC">
              <w:t>W/(</w:t>
            </w:r>
            <w:proofErr w:type="spellStart"/>
            <w:r w:rsidRPr="004778CC">
              <w:t>mK</w:t>
            </w:r>
            <w:proofErr w:type="spellEnd"/>
            <w:r w:rsidRPr="004778CC">
              <w:t>)</w:t>
            </w:r>
          </w:p>
        </w:tc>
      </w:tr>
      <w:tr w:rsidR="00581AFC" w:rsidRPr="004778CC" w:rsidTr="008D0D12">
        <w:tc>
          <w:tcPr>
            <w:tcW w:w="67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Pr="00ED3DA0" w:rsidRDefault="00581AFC" w:rsidP="000615A7">
            <w:pPr>
              <w:keepNext/>
              <w:ind w:left="147"/>
              <w:jc w:val="left"/>
              <w:rPr>
                <w:spacing w:val="-4"/>
              </w:rPr>
            </w:pPr>
            <w:r>
              <w:rPr>
                <w:spacing w:val="-4"/>
              </w:rPr>
              <w:t>Umrechnungsfaktor zur Berechnung des</w:t>
            </w:r>
            <w:r>
              <w:rPr>
                <w:spacing w:val="-4"/>
              </w:rPr>
              <w:br/>
            </w:r>
            <w:r w:rsidRPr="00ED3DA0">
              <w:rPr>
                <w:spacing w:val="-4"/>
              </w:rPr>
              <w:t>Bemessungswert</w:t>
            </w:r>
            <w:r>
              <w:rPr>
                <w:spacing w:val="-4"/>
              </w:rPr>
              <w:t>s</w:t>
            </w:r>
            <w:r w:rsidRPr="00ED3DA0">
              <w:rPr>
                <w:spacing w:val="-4"/>
              </w:rPr>
              <w:t xml:space="preserve"> der Wärmeleitfähigkeit</w:t>
            </w:r>
            <w:r>
              <w:rPr>
                <w:spacing w:val="-4"/>
              </w:rPr>
              <w:t xml:space="preserve"> (23 °C/80 % rel. Luftfeuchte)</w:t>
            </w:r>
            <w:r w:rsidR="000615A7">
              <w:rPr>
                <w:spacing w:val="-4"/>
                <w:vertAlign w:val="superscript"/>
              </w:rPr>
              <w:t xml:space="preserve">  2</w:t>
            </w:r>
            <w:r w:rsidR="000615A7" w:rsidRPr="006C66A4">
              <w:rPr>
                <w:spacing w:val="-4"/>
                <w:vertAlign w:val="superscript"/>
              </w:rPr>
              <w:t>)</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Pr="00ED3DA0" w:rsidRDefault="00581AFC" w:rsidP="008D0D12">
            <w:pPr>
              <w:keepNext/>
              <w:jc w:val="center"/>
              <w:rPr>
                <w:spacing w:val="-4"/>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Pr="004778CC" w:rsidRDefault="00581AFC" w:rsidP="008D0D12">
            <w:pPr>
              <w:keepNext/>
              <w:jc w:val="center"/>
              <w:rPr>
                <w:spacing w:val="-4"/>
              </w:rPr>
            </w:pPr>
            <w:r>
              <w:rPr>
                <w:spacing w:val="-4"/>
              </w:rPr>
              <w:t>-</w:t>
            </w:r>
          </w:p>
        </w:tc>
      </w:tr>
      <w:tr w:rsidR="00581AFC" w:rsidTr="008D0D12">
        <w:tc>
          <w:tcPr>
            <w:tcW w:w="67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Default="00581AFC" w:rsidP="000615A7">
            <w:pPr>
              <w:keepNext/>
              <w:ind w:left="147"/>
              <w:rPr>
                <w:spacing w:val="-4"/>
              </w:rPr>
            </w:pPr>
            <w:r w:rsidRPr="004778CC">
              <w:rPr>
                <w:spacing w:val="-4"/>
              </w:rPr>
              <w:t>Klassifizierung des Brandverhaltens nach ÖNORM EN 13501-1</w:t>
            </w:r>
            <w:r>
              <w:rPr>
                <w:spacing w:val="-4"/>
              </w:rPr>
              <w:t xml:space="preserve"> </w:t>
            </w:r>
            <w:r w:rsidR="000615A7">
              <w:rPr>
                <w:spacing w:val="-4"/>
                <w:vertAlign w:val="superscript"/>
              </w:rPr>
              <w:t>3</w:t>
            </w:r>
            <w:r w:rsidRPr="006C66A4">
              <w:rPr>
                <w:spacing w:val="-4"/>
                <w:vertAlign w:val="superscript"/>
              </w:rPr>
              <w:t>)</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Default="00581AFC" w:rsidP="008D0D12">
            <w:pPr>
              <w:keepNext/>
              <w:jc w:val="center"/>
              <w:rPr>
                <w:spacing w:val="-4"/>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Default="00581AFC" w:rsidP="008D0D12">
            <w:pPr>
              <w:keepNext/>
              <w:jc w:val="center"/>
            </w:pPr>
            <w:r>
              <w:t>-</w:t>
            </w:r>
          </w:p>
        </w:tc>
      </w:tr>
      <w:tr w:rsidR="00581AFC" w:rsidRPr="008801D7" w:rsidTr="008D0D12">
        <w:tc>
          <w:tcPr>
            <w:tcW w:w="67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Default="00581AFC" w:rsidP="008D0D12">
            <w:pPr>
              <w:keepNext/>
              <w:ind w:left="147"/>
              <w:rPr>
                <w:spacing w:val="-4"/>
              </w:rPr>
            </w:pPr>
            <w:r>
              <w:t>Resistenz gegen biologische Einwirkungen</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Pr="008801D7" w:rsidRDefault="00581AFC" w:rsidP="008D0D12">
            <w:pPr>
              <w:keepNext/>
              <w:jc w:val="center"/>
              <w:rPr>
                <w:spacing w:val="-4"/>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Default="00581AFC" w:rsidP="008D0D12">
            <w:pPr>
              <w:keepNext/>
              <w:jc w:val="center"/>
            </w:pPr>
            <w:r>
              <w:t>-</w:t>
            </w:r>
          </w:p>
        </w:tc>
      </w:tr>
      <w:tr w:rsidR="00581AFC" w:rsidRPr="008801D7" w:rsidTr="008D0D12">
        <w:tc>
          <w:tcPr>
            <w:tcW w:w="67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Default="00581AFC" w:rsidP="008D0D12">
            <w:pPr>
              <w:keepNext/>
              <w:ind w:left="147"/>
              <w:rPr>
                <w:spacing w:val="-4"/>
              </w:rPr>
            </w:pPr>
            <w:r>
              <w:rPr>
                <w:spacing w:val="-4"/>
              </w:rPr>
              <w:t>Strömungswiderstand</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Pr="008801D7" w:rsidRDefault="00581AFC" w:rsidP="008D0D12">
            <w:pPr>
              <w:keepNext/>
              <w:jc w:val="center"/>
              <w:rPr>
                <w:spacing w:val="-4"/>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81AFC" w:rsidRDefault="00581AFC" w:rsidP="008D0D12">
            <w:pPr>
              <w:keepNext/>
              <w:jc w:val="center"/>
            </w:pPr>
            <w:r>
              <w:t>(kPa s) / m²</w:t>
            </w:r>
          </w:p>
        </w:tc>
      </w:tr>
    </w:tbl>
    <w:p w:rsidR="00581AFC" w:rsidRPr="00AC28FF" w:rsidRDefault="00581AFC" w:rsidP="00581AFC">
      <w:pPr>
        <w:pStyle w:val="StandardAbs"/>
        <w:rPr>
          <w:spacing w:val="-4"/>
        </w:rPr>
      </w:pPr>
      <w:r w:rsidRPr="006C66A4">
        <w:rPr>
          <w:spacing w:val="-4"/>
          <w:vertAlign w:val="superscript"/>
        </w:rPr>
        <w:t>1)</w:t>
      </w:r>
      <w:r>
        <w:rPr>
          <w:spacing w:val="-4"/>
          <w:vertAlign w:val="superscript"/>
        </w:rPr>
        <w:t xml:space="preserve"> </w:t>
      </w:r>
      <w:r w:rsidRPr="00AC28FF">
        <w:rPr>
          <w:spacing w:val="-4"/>
        </w:rPr>
        <w:t>Sollte nicht d</w:t>
      </w:r>
      <w:r>
        <w:rPr>
          <w:spacing w:val="-4"/>
        </w:rPr>
        <w:t>er in den europäischen Normen definierte Nennwert der Wärmeleitfähigkeit</w:t>
      </w:r>
      <w:r>
        <w:rPr>
          <w:spacing w:val="-4"/>
          <w:vertAlign w:val="superscript"/>
        </w:rPr>
        <w:t xml:space="preserve"> </w:t>
      </w:r>
      <w:proofErr w:type="spellStart"/>
      <w:r w:rsidRPr="004778CC">
        <w:rPr>
          <w:spacing w:val="-4"/>
        </w:rPr>
        <w:t>λ</w:t>
      </w:r>
      <w:r w:rsidRPr="004778CC">
        <w:rPr>
          <w:spacing w:val="-4"/>
          <w:vertAlign w:val="subscript"/>
        </w:rPr>
        <w:t>D</w:t>
      </w:r>
      <w:proofErr w:type="spellEnd"/>
      <w:r>
        <w:rPr>
          <w:spacing w:val="-4"/>
        </w:rPr>
        <w:t xml:space="preserve"> angegeben werden, ist zu definieren, welcher Nennwert zitiert wird.</w:t>
      </w:r>
    </w:p>
    <w:p w:rsidR="000615A7" w:rsidRDefault="000615A7" w:rsidP="000615A7">
      <w:pPr>
        <w:pStyle w:val="StandardAbs"/>
        <w:spacing w:before="0"/>
      </w:pPr>
      <w:r w:rsidRPr="000615A7">
        <w:rPr>
          <w:vertAlign w:val="superscript"/>
        </w:rPr>
        <w:t>2)</w:t>
      </w:r>
      <w:r w:rsidRPr="008D0D12">
        <w:t xml:space="preserve">  </w:t>
      </w:r>
      <w:r>
        <w:t>Österreich: g</w:t>
      </w:r>
      <w:r w:rsidRPr="008D0D12">
        <w:t>em</w:t>
      </w:r>
      <w:r>
        <w:t>äß</w:t>
      </w:r>
      <w:r w:rsidRPr="008D0D12">
        <w:t xml:space="preserve"> ÖNORM B 6015-2, Ermittlung der baustoffspezifischen Wärmeleitfähigkeit und der Referenz-Wärmeleitfähigkeit für homogene Baustoffe</w:t>
      </w:r>
    </w:p>
    <w:p w:rsidR="00581AFC" w:rsidRDefault="000615A7" w:rsidP="00581AFC">
      <w:pPr>
        <w:pStyle w:val="StandardAbs"/>
        <w:spacing w:before="0"/>
      </w:pPr>
      <w:r>
        <w:rPr>
          <w:vertAlign w:val="superscript"/>
        </w:rPr>
        <w:t>3</w:t>
      </w:r>
      <w:r w:rsidR="00581AFC" w:rsidRPr="006C66A4">
        <w:rPr>
          <w:vertAlign w:val="superscript"/>
        </w:rPr>
        <w:t>)</w:t>
      </w:r>
      <w:r w:rsidR="00581AFC">
        <w:t xml:space="preserve"> Falls das Produkt in System 1 fällt, ist die Klassifizierung des Brandverhaltens durch das EG-Zertifikat nachzuweisen.</w:t>
      </w:r>
    </w:p>
    <w:p w:rsidR="00581AFC" w:rsidRPr="00924536" w:rsidRDefault="00581AFC" w:rsidP="00581AFC">
      <w:pPr>
        <w:pStyle w:val="StandardAbs"/>
      </w:pPr>
      <w:r w:rsidRPr="00924536">
        <w:t xml:space="preserve">Anmerkung: </w:t>
      </w:r>
    </w:p>
    <w:p w:rsidR="00581AFC" w:rsidRPr="00924536" w:rsidRDefault="00581AFC" w:rsidP="00581AFC">
      <w:r w:rsidRPr="00924536">
        <w:t>Für Einzel-EPDs sind die technischen Daten des Produktes</w:t>
      </w:r>
      <w:r w:rsidRPr="00924536">
        <w:rPr>
          <w:color w:val="FF00FF"/>
        </w:rPr>
        <w:t xml:space="preserve"> </w:t>
      </w:r>
      <w:r w:rsidRPr="00924536">
        <w:t>wie in Tabelle 1 gefordert</w:t>
      </w:r>
      <w:r w:rsidRPr="00924536">
        <w:rPr>
          <w:color w:val="FF00FF"/>
        </w:rPr>
        <w:t xml:space="preserve"> </w:t>
      </w:r>
      <w:r w:rsidRPr="00924536">
        <w:t>anzuführen.</w:t>
      </w:r>
    </w:p>
    <w:p w:rsidR="00581AFC" w:rsidRPr="008D3D66" w:rsidRDefault="00581AFC" w:rsidP="00581AFC">
      <w:pPr>
        <w:pStyle w:val="StandardAbs"/>
      </w:pPr>
      <w:r w:rsidRPr="00924536">
        <w:t>Für Branchen-EPDs ist die Tabelle auszufüllen, wobei jedoch ein Durchschnitt angegeben werden kann oder mit „siehe Produktdaten</w:t>
      </w:r>
      <w:r>
        <w:softHyphen/>
      </w:r>
      <w:r w:rsidRPr="00924536">
        <w:t xml:space="preserve">blätter“ ein Hinweis auf die einzelnen technischen Produktdatenblättern gegeben werden kann, die technischen Daten sind bei den Herstellern abzufragen. Die Hersteller haben dafür zu sorgen, dass die relevanten Daten verfügbar sind und der </w:t>
      </w:r>
      <w:proofErr w:type="spellStart"/>
      <w:r w:rsidRPr="00924536">
        <w:t>Bilanzierer</w:t>
      </w:r>
      <w:proofErr w:type="spellEnd"/>
      <w:r w:rsidRPr="00924536">
        <w:t xml:space="preserve"> muss im EPD-Dokument die Bezugs</w:t>
      </w:r>
      <w:r>
        <w:t>qu</w:t>
      </w:r>
      <w:r w:rsidRPr="00924536">
        <w:t>ellen anführen, unter welchen die technischen Daten abrufbar sind.</w:t>
      </w:r>
    </w:p>
    <w:bookmarkEnd w:id="8"/>
    <w:bookmarkEnd w:id="9"/>
    <w:p w:rsidR="00581AFC" w:rsidRDefault="00581AFC" w:rsidP="00581AFC">
      <w:pPr>
        <w:pStyle w:val="StandardAbs"/>
      </w:pPr>
      <w:r>
        <w:t>Optional können weitere technische Kenndaten</w:t>
      </w:r>
      <w:r w:rsidR="008D0D12">
        <w:t>, z.B. in Form einer Leistungserklärung,</w:t>
      </w:r>
      <w:r>
        <w:t xml:space="preserve"> angeführt werden, wenn diese für die Unterscheidung bzw. die Spezifizierung der/des Produkte/s erforderlich sind.</w:t>
      </w:r>
    </w:p>
    <w:p w:rsidR="00581AFC" w:rsidRPr="00D27B80" w:rsidRDefault="00581AFC" w:rsidP="00581AFC">
      <w:pPr>
        <w:pStyle w:val="KapitelUeberschrift2"/>
        <w:rPr>
          <w:lang w:val="de-AT"/>
        </w:rPr>
      </w:pPr>
      <w:r w:rsidRPr="00D27B80">
        <w:rPr>
          <w:lang w:val="de-AT"/>
        </w:rPr>
        <w:t>Brandschutz, Wassereinwirkung, mechanische Zerstörung</w:t>
      </w:r>
    </w:p>
    <w:p w:rsidR="00581AFC" w:rsidRDefault="00581AFC" w:rsidP="00581AFC">
      <w:pPr>
        <w:pStyle w:val="StandardAbs"/>
        <w:spacing w:before="0"/>
      </w:pPr>
      <w:r w:rsidRPr="002274D2">
        <w:t>Ergänzend ist an dieser Stelle – falls relevant – das Verhalten des deklarierten Produktes bei außergewöhnlichen Einwirkungen wie</w:t>
      </w:r>
      <w:r w:rsidRPr="004E2ADF">
        <w:t xml:space="preserve"> </w:t>
      </w:r>
      <w:r>
        <w:t xml:space="preserve">Brand, </w:t>
      </w:r>
      <w:r w:rsidRPr="004E2ADF">
        <w:t>Wasser und mechanische</w:t>
      </w:r>
      <w:r>
        <w:t>r</w:t>
      </w:r>
      <w:r w:rsidRPr="004E2ADF">
        <w:t xml:space="preserve"> Zerstörung einschließlich möglicher Umweltauswirkungen zu beschreiben.</w:t>
      </w:r>
      <w:r>
        <w:t xml:space="preserve"> </w:t>
      </w:r>
    </w:p>
    <w:p w:rsidR="00F36433" w:rsidRDefault="00F36433" w:rsidP="00E058BF">
      <w:pPr>
        <w:pStyle w:val="StandardAbs"/>
      </w:pPr>
    </w:p>
    <w:p w:rsidR="00AC28E6" w:rsidRDefault="00CB3C0B" w:rsidP="00F36433">
      <w:pPr>
        <w:pStyle w:val="berschrift2"/>
      </w:pPr>
      <w:bookmarkStart w:id="10" w:name="_Toc391985049"/>
      <w:r w:rsidRPr="0071335D">
        <w:t>Lieferbedingungen</w:t>
      </w:r>
      <w:bookmarkEnd w:id="10"/>
    </w:p>
    <w:p w:rsidR="00581AFC" w:rsidRPr="0071335D" w:rsidRDefault="00581AFC" w:rsidP="00581AFC">
      <w:pPr>
        <w:pStyle w:val="StandardAbs"/>
      </w:pPr>
      <w:bookmarkStart w:id="11" w:name="EPDEdit_ibu_2_5_Inverkehrbringung"/>
      <w:r w:rsidRPr="007D180C">
        <w:t>Textliche Beschreibung zum Lieferzustand, den Liefereinheiten, Abmessungen sowie den Lagererfordernissen, die für das/die dekla</w:t>
      </w:r>
      <w:r>
        <w:t>rierte/n Produkt/e wichtig sind.</w:t>
      </w:r>
    </w:p>
    <w:p w:rsidR="00AC28E6" w:rsidRDefault="00AC28E6" w:rsidP="00FB5D78"/>
    <w:p w:rsidR="009A7FDC" w:rsidRDefault="009A7FDC" w:rsidP="007D180C">
      <w:pPr>
        <w:pStyle w:val="berschriftohneZahl"/>
        <w:ind w:left="426" w:hanging="426"/>
        <w:sectPr w:rsidR="009A7FDC" w:rsidSect="000224B7">
          <w:headerReference w:type="default" r:id="rId11"/>
          <w:footerReference w:type="default" r:id="rId12"/>
          <w:footerReference w:type="first" r:id="rId13"/>
          <w:pgSz w:w="11906" w:h="16838" w:code="9"/>
          <w:pgMar w:top="993" w:right="991" w:bottom="993" w:left="993" w:header="567" w:footer="567" w:gutter="0"/>
          <w:cols w:space="708"/>
          <w:titlePg/>
          <w:docGrid w:linePitch="360"/>
        </w:sectPr>
      </w:pPr>
    </w:p>
    <w:p w:rsidR="00007EB9" w:rsidRDefault="00007EB9" w:rsidP="00F36433">
      <w:pPr>
        <w:pStyle w:val="berschrift1"/>
      </w:pPr>
      <w:bookmarkStart w:id="12" w:name="_Toc391985050"/>
      <w:r w:rsidRPr="00A43ADA">
        <w:lastRenderedPageBreak/>
        <w:t>Lebenszyklusbeschreibung</w:t>
      </w:r>
      <w:bookmarkEnd w:id="12"/>
    </w:p>
    <w:p w:rsidR="00F36433" w:rsidRPr="00F36433" w:rsidRDefault="00F36433" w:rsidP="00F36433"/>
    <w:p w:rsidR="00CB3C0B" w:rsidRDefault="00EE1EFA" w:rsidP="00F36433">
      <w:pPr>
        <w:pStyle w:val="berschrift2"/>
      </w:pPr>
      <w:bookmarkStart w:id="13" w:name="_Toc391985051"/>
      <w:bookmarkEnd w:id="11"/>
      <w:r>
        <w:t>Grundstoffe</w:t>
      </w:r>
      <w:r w:rsidR="006A7583">
        <w:t xml:space="preserve"> </w:t>
      </w:r>
      <w:r w:rsidR="006A7583" w:rsidRPr="00EE1EFA">
        <w:t>(</w:t>
      </w:r>
      <w:r w:rsidRPr="00EE1EFA">
        <w:t>Hauptkomponenten und Hilfsstoffe</w:t>
      </w:r>
      <w:r w:rsidR="00E33F5E">
        <w:t>)</w:t>
      </w:r>
      <w:bookmarkEnd w:id="13"/>
    </w:p>
    <w:p w:rsidR="00F36433" w:rsidRPr="00F36433" w:rsidRDefault="00F36433" w:rsidP="00F36433"/>
    <w:p w:rsidR="00581AFC" w:rsidRDefault="00581AFC" w:rsidP="00581AFC">
      <w:pPr>
        <w:rPr>
          <w:rFonts w:eastAsia="Times New Roman"/>
        </w:rPr>
      </w:pPr>
      <w:r w:rsidRPr="00FE29BF">
        <w:t>Die Produktkomponenten und/oder Inhaltsstoffe sind in Masse-% anzugeben, um den Nutzer der EPD zu befähigen, die Zusammensetzung des Produkts im Lieferzustand zu verstehen. Diese Angaben sollen auch die Sicherheit und Effizienz bei Einbau, Nutzung und Entso</w:t>
      </w:r>
      <w:bookmarkStart w:id="14" w:name="PCR_2_6_Angabe_M_Prozent"/>
      <w:r w:rsidRPr="00FE29BF">
        <w:t>rgung des Produkts unterstützen</w:t>
      </w:r>
      <w:r w:rsidRPr="00FE29BF">
        <w:rPr>
          <w:rFonts w:eastAsia="Times New Roman"/>
        </w:rPr>
        <w:t>.</w:t>
      </w:r>
      <w:bookmarkEnd w:id="14"/>
    </w:p>
    <w:p w:rsidR="00581AFC" w:rsidRDefault="00581AFC" w:rsidP="00581AFC">
      <w:pPr>
        <w:pStyle w:val="StandardAbs"/>
      </w:pPr>
      <w:r>
        <w:t>Die Angabe der Massenprozent kann genau oder als Bereich analog zu REACH erfolgen. Die Menge an Stoffen, die unter 1 Massenprozent im Gesamtprodukt ausmachen, kann mit „&lt; 1 Massenprozent“ angeführt werden.</w:t>
      </w:r>
    </w:p>
    <w:p w:rsidR="00581AFC" w:rsidRDefault="00581AFC" w:rsidP="00581AFC">
      <w:pPr>
        <w:pStyle w:val="StandardAbs"/>
      </w:pPr>
      <w:r w:rsidRPr="003C35D8">
        <w:t>Die Produktkomponenten sind so</w:t>
      </w:r>
      <w:r>
        <w:t xml:space="preserve"> </w:t>
      </w:r>
      <w:r w:rsidRPr="003C35D8">
        <w:t>weit zu definieren, dass ihre Art klar erkennbar ist, aber Firmengeheimnisse nicht offengelegt werden.</w:t>
      </w:r>
      <w:r w:rsidRPr="00C54F52">
        <w:t xml:space="preserve"> </w:t>
      </w:r>
      <w:r>
        <w:t>Für die Additive sind mindestens die Funktion und die Substanzklasse (z.B. Hydrophobierungsmittel auf Paraffinbasis) anzugeben.</w:t>
      </w:r>
    </w:p>
    <w:p w:rsidR="00581AFC" w:rsidRDefault="00581AFC" w:rsidP="00581AFC">
      <w:pPr>
        <w:pStyle w:val="StandardAbs"/>
      </w:pPr>
    </w:p>
    <w:p w:rsidR="00581AFC" w:rsidRDefault="00581AFC" w:rsidP="00581AFC">
      <w:pPr>
        <w:pStyle w:val="Beschriftung"/>
      </w:pPr>
      <w:r>
        <w:t xml:space="preserve">Tabelle </w:t>
      </w:r>
      <w:fldSimple w:instr=" SEQ Tabelle \* ARABIC ">
        <w:r w:rsidR="00380BCC">
          <w:rPr>
            <w:noProof/>
          </w:rPr>
          <w:t>2</w:t>
        </w:r>
      </w:fldSimple>
      <w:r w:rsidRPr="00E170F3">
        <w:t>: Grundstoffe</w:t>
      </w:r>
    </w:p>
    <w:tbl>
      <w:tblPr>
        <w:tblStyle w:val="Tabellenraster"/>
        <w:tblW w:w="6345" w:type="dxa"/>
        <w:tblLook w:val="04A0" w:firstRow="1" w:lastRow="0" w:firstColumn="1" w:lastColumn="0" w:noHBand="0" w:noVBand="1"/>
      </w:tblPr>
      <w:tblGrid>
        <w:gridCol w:w="2376"/>
        <w:gridCol w:w="2551"/>
        <w:gridCol w:w="1418"/>
      </w:tblGrid>
      <w:tr w:rsidR="00581AFC" w:rsidRPr="00B8286E" w:rsidTr="00F32222">
        <w:trPr>
          <w:trHeight w:val="567"/>
        </w:trPr>
        <w:tc>
          <w:tcPr>
            <w:tcW w:w="2376" w:type="dxa"/>
            <w:shd w:val="clear" w:color="auto" w:fill="C6D9F1" w:themeFill="text2" w:themeFillTint="33"/>
            <w:vAlign w:val="center"/>
          </w:tcPr>
          <w:p w:rsidR="00581AFC" w:rsidRPr="00B8286E" w:rsidRDefault="00581AFC" w:rsidP="008D0D12">
            <w:pPr>
              <w:rPr>
                <w:b/>
              </w:rPr>
            </w:pPr>
            <w:r>
              <w:rPr>
                <w:b/>
              </w:rPr>
              <w:t>B</w:t>
            </w:r>
            <w:r w:rsidRPr="00B8286E">
              <w:rPr>
                <w:b/>
              </w:rPr>
              <w:t>estandteile:</w:t>
            </w:r>
          </w:p>
        </w:tc>
        <w:tc>
          <w:tcPr>
            <w:tcW w:w="2551" w:type="dxa"/>
            <w:shd w:val="clear" w:color="auto" w:fill="C6D9F1" w:themeFill="text2" w:themeFillTint="33"/>
            <w:vAlign w:val="center"/>
          </w:tcPr>
          <w:p w:rsidR="00581AFC" w:rsidRPr="00B8286E" w:rsidRDefault="00581AFC" w:rsidP="008D0D12">
            <w:pPr>
              <w:rPr>
                <w:b/>
              </w:rPr>
            </w:pPr>
            <w:r>
              <w:rPr>
                <w:b/>
              </w:rPr>
              <w:t>Funktion</w:t>
            </w:r>
          </w:p>
        </w:tc>
        <w:tc>
          <w:tcPr>
            <w:tcW w:w="1418" w:type="dxa"/>
            <w:shd w:val="clear" w:color="auto" w:fill="C6D9F1" w:themeFill="text2" w:themeFillTint="33"/>
            <w:vAlign w:val="center"/>
          </w:tcPr>
          <w:p w:rsidR="00581AFC" w:rsidRPr="00B8286E" w:rsidRDefault="00581AFC" w:rsidP="008D0D12">
            <w:pPr>
              <w:rPr>
                <w:b/>
              </w:rPr>
            </w:pPr>
            <w:r w:rsidRPr="00B8286E">
              <w:rPr>
                <w:b/>
              </w:rPr>
              <w:t>Massen %</w:t>
            </w:r>
          </w:p>
        </w:tc>
      </w:tr>
      <w:tr w:rsidR="00581AFC" w:rsidRPr="00162439" w:rsidTr="008D0D12">
        <w:trPr>
          <w:trHeight w:val="567"/>
        </w:trPr>
        <w:tc>
          <w:tcPr>
            <w:tcW w:w="2376" w:type="dxa"/>
            <w:vAlign w:val="center"/>
          </w:tcPr>
          <w:p w:rsidR="00581AFC" w:rsidRPr="00162439" w:rsidRDefault="00581AFC" w:rsidP="008D0D12">
            <w:r>
              <w:t xml:space="preserve">Bezeichnung </w:t>
            </w:r>
            <w:r w:rsidRPr="00E84420">
              <w:rPr>
                <w:vertAlign w:val="superscript"/>
              </w:rPr>
              <w:t>1)</w:t>
            </w:r>
          </w:p>
        </w:tc>
        <w:tc>
          <w:tcPr>
            <w:tcW w:w="2551" w:type="dxa"/>
            <w:vAlign w:val="center"/>
          </w:tcPr>
          <w:p w:rsidR="00581AFC" w:rsidRPr="00162439" w:rsidRDefault="00581AFC" w:rsidP="008D0D12">
            <w:r>
              <w:t>z.B. Ballenschnürung</w:t>
            </w:r>
          </w:p>
        </w:tc>
        <w:tc>
          <w:tcPr>
            <w:tcW w:w="1418" w:type="dxa"/>
            <w:vAlign w:val="center"/>
          </w:tcPr>
          <w:p w:rsidR="00581AFC" w:rsidRPr="00162439" w:rsidRDefault="00581AFC" w:rsidP="008D0D12"/>
        </w:tc>
      </w:tr>
      <w:tr w:rsidR="00581AFC" w:rsidRPr="00162439" w:rsidTr="008D0D12">
        <w:trPr>
          <w:trHeight w:val="567"/>
        </w:trPr>
        <w:tc>
          <w:tcPr>
            <w:tcW w:w="2376" w:type="dxa"/>
            <w:vAlign w:val="center"/>
          </w:tcPr>
          <w:p w:rsidR="00581AFC" w:rsidRPr="00162439" w:rsidRDefault="00581AFC" w:rsidP="008D0D12"/>
        </w:tc>
        <w:tc>
          <w:tcPr>
            <w:tcW w:w="2551" w:type="dxa"/>
            <w:vAlign w:val="center"/>
          </w:tcPr>
          <w:p w:rsidR="00581AFC" w:rsidRDefault="00581AFC" w:rsidP="008D0D12"/>
        </w:tc>
        <w:tc>
          <w:tcPr>
            <w:tcW w:w="1418" w:type="dxa"/>
            <w:vAlign w:val="center"/>
          </w:tcPr>
          <w:p w:rsidR="00581AFC" w:rsidRPr="00162439" w:rsidRDefault="00581AFC" w:rsidP="008D0D12"/>
        </w:tc>
      </w:tr>
    </w:tbl>
    <w:p w:rsidR="00581AFC" w:rsidRPr="00FE29BF" w:rsidRDefault="00581AFC" w:rsidP="00581AFC">
      <w:pPr>
        <w:pStyle w:val="StandardAbs"/>
      </w:pPr>
      <w:r>
        <w:t>1) Fußnote zu jedem Bestandteil mit kurzer Erklärung zu Stoff und Rohstoffgewinnung (Recycling, etc.)</w:t>
      </w:r>
    </w:p>
    <w:p w:rsidR="00581AFC" w:rsidRDefault="00581AFC" w:rsidP="00581AFC">
      <w:pPr>
        <w:pStyle w:val="StandardAbs"/>
      </w:pPr>
      <w:r>
        <w:t>Bezüglich der „</w:t>
      </w:r>
      <w:r w:rsidRPr="00141071">
        <w:t xml:space="preserve">Deklaration </w:t>
      </w:r>
      <w:r>
        <w:t>b</w:t>
      </w:r>
      <w:r w:rsidRPr="00141071">
        <w:t>esonders besorgniserregende</w:t>
      </w:r>
      <w:r>
        <w:t>r</w:t>
      </w:r>
      <w:r w:rsidRPr="00141071">
        <w:t xml:space="preserve"> Stoffe</w:t>
      </w:r>
      <w:r>
        <w:t>“</w:t>
      </w:r>
      <w:r w:rsidRPr="00141071">
        <w:t xml:space="preserve"> (SVHC) und </w:t>
      </w:r>
      <w:r>
        <w:t>„</w:t>
      </w:r>
      <w:r w:rsidRPr="00141071">
        <w:t>gefährliche</w:t>
      </w:r>
      <w:r>
        <w:t>r</w:t>
      </w:r>
      <w:r w:rsidRPr="00141071">
        <w:t xml:space="preserve"> Stoffe gemäß REACH / CLP-Verordnung</w:t>
      </w:r>
      <w:r>
        <w:t>“</w:t>
      </w:r>
      <w:r w:rsidRPr="00141071">
        <w:t xml:space="preserve"> (EG-Verordnung 1272/2008), deren Gehalt die Grenzwerte für ihre Registrierung durch die Europäische Chemikalienagentur überschreitet, siehe </w:t>
      </w:r>
      <w:r>
        <w:t>„</w:t>
      </w:r>
      <w:r>
        <w:rPr>
          <w:color w:val="0070C0"/>
        </w:rPr>
        <w:fldChar w:fldCharType="begin"/>
      </w:r>
      <w:r>
        <w:instrText xml:space="preserve"> REF _Ref378073665 \h </w:instrText>
      </w:r>
      <w:r>
        <w:rPr>
          <w:color w:val="0070C0"/>
        </w:rPr>
      </w:r>
      <w:r>
        <w:rPr>
          <w:color w:val="0070C0"/>
        </w:rPr>
        <w:fldChar w:fldCharType="separate"/>
      </w:r>
      <w:r w:rsidR="00380BCC">
        <w:t>Deklaration besonders besorgniserregender Stoffe</w:t>
      </w:r>
      <w:r>
        <w:rPr>
          <w:color w:val="0070C0"/>
        </w:rPr>
        <w:fldChar w:fldCharType="end"/>
      </w:r>
      <w:r w:rsidRPr="00141071">
        <w:t>“.</w:t>
      </w:r>
    </w:p>
    <w:p w:rsidR="00F36433" w:rsidRPr="00FE29BF" w:rsidRDefault="00F36433" w:rsidP="002B1CB0">
      <w:pPr>
        <w:pStyle w:val="StandardAbs"/>
      </w:pPr>
    </w:p>
    <w:p w:rsidR="00CB3C0B" w:rsidRDefault="00CB3C0B" w:rsidP="00F36433">
      <w:pPr>
        <w:pStyle w:val="berschrift2"/>
      </w:pPr>
      <w:bookmarkStart w:id="15" w:name="IBUEPD_2_7_Herstellung"/>
      <w:bookmarkStart w:id="16" w:name="_Toc391985052"/>
      <w:r w:rsidRPr="00007EB9">
        <w:t>Herstellung</w:t>
      </w:r>
      <w:bookmarkEnd w:id="16"/>
      <w:r w:rsidR="00E8033B" w:rsidRPr="00007EB9">
        <w:t xml:space="preserve"> </w:t>
      </w:r>
    </w:p>
    <w:p w:rsidR="00F36433" w:rsidRPr="00F36433" w:rsidRDefault="00F36433" w:rsidP="00F36433"/>
    <w:p w:rsidR="00E60D37" w:rsidRPr="006E0B11" w:rsidRDefault="00CB3C0B" w:rsidP="00FB5D78">
      <w:r w:rsidRPr="006E0B11">
        <w:t>Der Herstellungsprozess muss beschrieben und kann mit einer einfa</w:t>
      </w:r>
      <w:r w:rsidR="007023D4">
        <w:t>chen Grafik illustriert werden.</w:t>
      </w:r>
    </w:p>
    <w:p w:rsidR="00CB3C0B" w:rsidRDefault="00CB3C0B" w:rsidP="003C35D8">
      <w:r w:rsidRPr="006E0B11">
        <w:t>Qualitätsmanagementsysteme</w:t>
      </w:r>
      <w:r w:rsidR="002B1CB0">
        <w:t xml:space="preserve">, Umweltmanagementsystem o.ä. </w:t>
      </w:r>
      <w:r w:rsidRPr="006E0B11">
        <w:t>können genannt werden.</w:t>
      </w:r>
      <w:bookmarkEnd w:id="15"/>
    </w:p>
    <w:p w:rsidR="00F36433" w:rsidRPr="006E0B11" w:rsidRDefault="00F36433" w:rsidP="003C35D8"/>
    <w:p w:rsidR="00320955" w:rsidRDefault="00320955" w:rsidP="00F36433">
      <w:pPr>
        <w:pStyle w:val="berschrift2"/>
      </w:pPr>
      <w:bookmarkStart w:id="17" w:name="_Toc391985053"/>
      <w:r w:rsidRPr="005E4DAE">
        <w:t>Verpackung</w:t>
      </w:r>
      <w:bookmarkEnd w:id="17"/>
    </w:p>
    <w:p w:rsidR="00F36433" w:rsidRPr="00F36433" w:rsidRDefault="00F36433" w:rsidP="00F36433"/>
    <w:p w:rsidR="002B1CB0" w:rsidRDefault="002B1CB0" w:rsidP="002B1CB0">
      <w:bookmarkStart w:id="18" w:name="IBUEPD_2_9_Produktverarbeitung"/>
      <w:r>
        <w:t xml:space="preserve">Angaben zu jedem Verpackungsbestandteil: </w:t>
      </w:r>
    </w:p>
    <w:p w:rsidR="002B1CB0" w:rsidRDefault="002B1CB0" w:rsidP="002B1CB0">
      <w:pPr>
        <w:pStyle w:val="Listenabsatz"/>
        <w:numPr>
          <w:ilvl w:val="0"/>
          <w:numId w:val="26"/>
        </w:numPr>
        <w:spacing w:before="0" w:line="320" w:lineRule="exact"/>
        <w:jc w:val="left"/>
      </w:pPr>
      <w:r>
        <w:t xml:space="preserve">Art (Folie, Palette, etc.), </w:t>
      </w:r>
    </w:p>
    <w:p w:rsidR="002B1CB0" w:rsidRDefault="002B1CB0" w:rsidP="002B1CB0">
      <w:pPr>
        <w:pStyle w:val="Listenabsatz"/>
        <w:numPr>
          <w:ilvl w:val="0"/>
          <w:numId w:val="26"/>
        </w:numPr>
        <w:spacing w:before="0" w:line="320" w:lineRule="exact"/>
        <w:jc w:val="left"/>
      </w:pPr>
      <w:r>
        <w:t xml:space="preserve">Material (Papier, Polyethylen,…; ggf. inkl. Herkunft, z.B. Altpapier) und </w:t>
      </w:r>
    </w:p>
    <w:p w:rsidR="002B1CB0" w:rsidRDefault="002B1CB0" w:rsidP="002B1CB0">
      <w:pPr>
        <w:pStyle w:val="Listenabsatz"/>
        <w:numPr>
          <w:ilvl w:val="0"/>
          <w:numId w:val="26"/>
        </w:numPr>
        <w:spacing w:before="0" w:line="320" w:lineRule="exact"/>
        <w:jc w:val="left"/>
      </w:pPr>
      <w:r>
        <w:t xml:space="preserve">mögliche Nachnutzung (z.B. Mehrweg-Paletten). </w:t>
      </w:r>
    </w:p>
    <w:p w:rsidR="00F36433" w:rsidRDefault="00F36433" w:rsidP="00F36433">
      <w:pPr>
        <w:pStyle w:val="Listenabsatz"/>
        <w:spacing w:before="0" w:line="320" w:lineRule="exact"/>
        <w:jc w:val="left"/>
      </w:pPr>
    </w:p>
    <w:p w:rsidR="00320955" w:rsidRDefault="00320955" w:rsidP="00F36433">
      <w:pPr>
        <w:pStyle w:val="berschrift2"/>
      </w:pPr>
      <w:bookmarkStart w:id="19" w:name="_Toc391985054"/>
      <w:r>
        <w:t>Transporte</w:t>
      </w:r>
      <w:bookmarkEnd w:id="19"/>
    </w:p>
    <w:p w:rsidR="00F36433" w:rsidRPr="00F36433" w:rsidRDefault="00F36433" w:rsidP="00F36433"/>
    <w:p w:rsidR="00320955" w:rsidRDefault="002B1CB0" w:rsidP="00FB5D78">
      <w:r>
        <w:t>Beschreibung der Auslieferung</w:t>
      </w:r>
      <w:r w:rsidR="00A303D5">
        <w:t xml:space="preserve">: </w:t>
      </w:r>
    </w:p>
    <w:p w:rsidR="00A303D5" w:rsidRDefault="00A303D5" w:rsidP="009965D5">
      <w:pPr>
        <w:pStyle w:val="Listenabsatz"/>
        <w:numPr>
          <w:ilvl w:val="0"/>
          <w:numId w:val="32"/>
        </w:numPr>
      </w:pPr>
      <w:r>
        <w:t>Wege und Transportmittel</w:t>
      </w:r>
    </w:p>
    <w:p w:rsidR="00F36433" w:rsidRDefault="00F36433" w:rsidP="00F36433">
      <w:pPr>
        <w:pStyle w:val="Listenabsatz"/>
      </w:pPr>
    </w:p>
    <w:p w:rsidR="00CB3C0B" w:rsidRDefault="00CB3C0B" w:rsidP="00F36433">
      <w:pPr>
        <w:pStyle w:val="berschrift2"/>
      </w:pPr>
      <w:bookmarkStart w:id="20" w:name="_Toc391985055"/>
      <w:r w:rsidRPr="00007EB9">
        <w:t>Produktverarbeitung und Installation</w:t>
      </w:r>
      <w:bookmarkEnd w:id="20"/>
    </w:p>
    <w:p w:rsidR="00F36433" w:rsidRPr="00F36433" w:rsidRDefault="00F36433" w:rsidP="00F36433"/>
    <w:p w:rsidR="00CB3C0B" w:rsidRPr="006E0B11" w:rsidRDefault="00CB3C0B" w:rsidP="00FB5D78">
      <w:r w:rsidRPr="006E0B11">
        <w:t>Beschreibung der Art der Bearbeitung, der einzusetzenden M</w:t>
      </w:r>
      <w:r w:rsidR="00580991" w:rsidRPr="006E0B11">
        <w:t>aschinen, Werkzeuge, Staubabsau</w:t>
      </w:r>
      <w:r w:rsidRPr="006E0B11">
        <w:t>gung, etc., der Hilfsstoffe, sowie der Maßnahmen zur Lärmminderung.</w:t>
      </w:r>
    </w:p>
    <w:p w:rsidR="00CB3C0B" w:rsidRPr="006E0B11" w:rsidRDefault="00CB3C0B" w:rsidP="00FB5D78">
      <w:r w:rsidRPr="006E0B11">
        <w:lastRenderedPageBreak/>
        <w:t>Hinweise auf Regeln der Technik und des Arbeits- und Umweltschutzes sind möglich.</w:t>
      </w:r>
      <w:bookmarkEnd w:id="18"/>
    </w:p>
    <w:p w:rsidR="002B1CB0" w:rsidRDefault="002B1CB0" w:rsidP="002B1CB0">
      <w:pPr>
        <w:pStyle w:val="StandardAbs"/>
      </w:pPr>
      <w:r w:rsidRPr="007023D4">
        <w:t>Verweise auf detaillierte Verarbeitungsrichtlinien und Hinweise zur sicheren Verarbeitung (</w:t>
      </w:r>
      <w:proofErr w:type="spellStart"/>
      <w:r w:rsidRPr="007023D4">
        <w:t>safe</w:t>
      </w:r>
      <w:proofErr w:type="spellEnd"/>
      <w:r w:rsidRPr="007023D4">
        <w:t xml:space="preserve"> </w:t>
      </w:r>
      <w:proofErr w:type="spellStart"/>
      <w:r w:rsidRPr="007023D4">
        <w:t>use</w:t>
      </w:r>
      <w:proofErr w:type="spellEnd"/>
      <w:r w:rsidRPr="007023D4">
        <w:t xml:space="preserve"> </w:t>
      </w:r>
      <w:proofErr w:type="spellStart"/>
      <w:r w:rsidRPr="007023D4">
        <w:t>instruction</w:t>
      </w:r>
      <w:proofErr w:type="spellEnd"/>
      <w:r w:rsidRPr="007023D4">
        <w:t xml:space="preserve"> </w:t>
      </w:r>
      <w:proofErr w:type="spellStart"/>
      <w:r w:rsidRPr="007023D4">
        <w:t>sheet</w:t>
      </w:r>
      <w:proofErr w:type="spellEnd"/>
      <w:r w:rsidRPr="007023D4">
        <w:t>) des Herstellers sind erwünscht.</w:t>
      </w:r>
    </w:p>
    <w:p w:rsidR="00581AFC" w:rsidRDefault="00581AFC" w:rsidP="002B1CB0">
      <w:pPr>
        <w:pStyle w:val="StandardAbs"/>
      </w:pPr>
    </w:p>
    <w:p w:rsidR="00CB3C0B" w:rsidRDefault="00CB3C0B" w:rsidP="00F36433">
      <w:pPr>
        <w:pStyle w:val="berschrift2"/>
      </w:pPr>
      <w:bookmarkStart w:id="21" w:name="_Toc391985056"/>
      <w:r w:rsidRPr="005E4DAE">
        <w:t>Nutzungs</w:t>
      </w:r>
      <w:r w:rsidR="00320955">
        <w:t>phase</w:t>
      </w:r>
      <w:bookmarkEnd w:id="21"/>
    </w:p>
    <w:p w:rsidR="00581AFC" w:rsidRDefault="00581AFC" w:rsidP="00581AFC">
      <w:pPr>
        <w:pStyle w:val="KapitelUeberschrift2"/>
        <w:keepNext/>
      </w:pPr>
      <w:r>
        <w:t>3.6.1</w:t>
      </w:r>
      <w:r>
        <w:tab/>
        <w:t>Nutzungszustand</w:t>
      </w:r>
    </w:p>
    <w:p w:rsidR="00581AFC" w:rsidRDefault="00581AFC" w:rsidP="00581AFC">
      <w:pPr>
        <w:keepNext/>
      </w:pPr>
      <w:r w:rsidRPr="000B0121">
        <w:t>Bei Dämmstoffen aus nachwachsenden Rohstoffen treten bei sach- und fachgerechtem Einbau und störungsfreier Nutzung keine Änderungen der stofflichen Zusammensetzung über den Zeitraum der Nutzung auf.</w:t>
      </w:r>
    </w:p>
    <w:p w:rsidR="00581AFC" w:rsidRDefault="00581AFC" w:rsidP="00581AFC">
      <w:pPr>
        <w:pStyle w:val="KapitelUeberschrift2"/>
      </w:pPr>
      <w:bookmarkStart w:id="22" w:name="IBUEPD_2_12_Umwelt_Nutzung"/>
      <w:r>
        <w:t>3.6.2</w:t>
      </w:r>
      <w:r>
        <w:tab/>
      </w:r>
      <w:r w:rsidRPr="005E4DAE">
        <w:t>Umwelt &amp; Gesundheit während der Nutzung</w:t>
      </w:r>
    </w:p>
    <w:p w:rsidR="00581AFC" w:rsidRPr="00026074" w:rsidRDefault="00581AFC" w:rsidP="00581AFC">
      <w:bookmarkStart w:id="23" w:name="EPDEdit_ibu_2_12_Umwelt_Nutzung"/>
      <w:bookmarkEnd w:id="22"/>
      <w:r w:rsidRPr="00026074">
        <w:t>Hinweise auf Wirkungsbeziehungen zwischen Produkt, Umwelt und Gesundheit. Mögliche Schadstoffgehalte oder -emissionen.</w:t>
      </w:r>
      <w:bookmarkStart w:id="24" w:name="PCR_2_12_Umwelt_Nutzung"/>
      <w:r>
        <w:t xml:space="preserve"> </w:t>
      </w:r>
      <w:bookmarkEnd w:id="23"/>
      <w:bookmarkEnd w:id="24"/>
    </w:p>
    <w:p w:rsidR="00581AFC" w:rsidRDefault="00581AFC" w:rsidP="00581AFC">
      <w:pPr>
        <w:pStyle w:val="KapitelUeberschrift2"/>
      </w:pPr>
      <w:r>
        <w:t>3.6.3</w:t>
      </w:r>
      <w:r>
        <w:tab/>
      </w:r>
      <w:r w:rsidRPr="00A80BE1">
        <w:t>Referenznutzungsdauer (RSL)</w:t>
      </w:r>
    </w:p>
    <w:p w:rsidR="00581AFC" w:rsidRDefault="00581AFC" w:rsidP="00581AFC">
      <w:r>
        <w:t>Allgemeine Angaben zur Nutzungsdauer und Annahmen, auf denen diese beruht.</w:t>
      </w:r>
    </w:p>
    <w:p w:rsidR="00581AFC" w:rsidRDefault="00581AFC" w:rsidP="00581AFC">
      <w:r>
        <w:t xml:space="preserve">Die für die Ökobilanz herangezogene RSL ist in Kap. 4.3 Angaben zum Lebenszyklus für die Ökobilanz anzugeben.  </w:t>
      </w:r>
    </w:p>
    <w:p w:rsidR="00F36433" w:rsidRPr="006E0B11" w:rsidRDefault="00F36433" w:rsidP="00FB5D78"/>
    <w:p w:rsidR="00CB3C0B" w:rsidRDefault="00CB3C0B" w:rsidP="00F36433">
      <w:pPr>
        <w:pStyle w:val="berschrift2"/>
      </w:pPr>
      <w:bookmarkStart w:id="25" w:name="IBUEPD_2_15_Nachnutzungsphase"/>
      <w:bookmarkStart w:id="26" w:name="_Toc391985057"/>
      <w:r w:rsidRPr="00935830">
        <w:t>Nachnutzungsphase</w:t>
      </w:r>
      <w:bookmarkEnd w:id="26"/>
    </w:p>
    <w:bookmarkEnd w:id="25"/>
    <w:p w:rsidR="00581AFC" w:rsidRDefault="00581AFC" w:rsidP="00581AFC">
      <w:pPr>
        <w:pStyle w:val="KapitelUeberschrift2"/>
      </w:pPr>
      <w:r>
        <w:t>3.7.1</w:t>
      </w:r>
      <w:r>
        <w:tab/>
        <w:t>Wiederverwendung und Recycling</w:t>
      </w:r>
    </w:p>
    <w:p w:rsidR="00581AFC" w:rsidRDefault="00581AFC" w:rsidP="00581AFC">
      <w:r>
        <w:t xml:space="preserve">Möglichkeiten der Wiederverwendung und Recycling sind zu beschreiben. </w:t>
      </w:r>
    </w:p>
    <w:p w:rsidR="00581AFC" w:rsidRDefault="00581AFC" w:rsidP="00581AFC">
      <w:pPr>
        <w:pStyle w:val="KapitelUeberschrift2"/>
      </w:pPr>
      <w:r>
        <w:t>3.7.2</w:t>
      </w:r>
      <w:r>
        <w:tab/>
        <w:t>Thermische Verwertung</w:t>
      </w:r>
    </w:p>
    <w:p w:rsidR="00581AFC" w:rsidRPr="00517B4F" w:rsidRDefault="00581AFC" w:rsidP="00581AFC">
      <w:r w:rsidRPr="00517B4F">
        <w:t>Möglichkeiten der thermischen Verwertung sind zu beschreiben.</w:t>
      </w:r>
    </w:p>
    <w:p w:rsidR="00581AFC" w:rsidRDefault="00581AFC" w:rsidP="00581AFC">
      <w:pPr>
        <w:pStyle w:val="KapitelUeberschrift2"/>
      </w:pPr>
      <w:r>
        <w:t>3.7.3</w:t>
      </w:r>
      <w:r>
        <w:tab/>
        <w:t>Entsorgung</w:t>
      </w:r>
    </w:p>
    <w:p w:rsidR="00581AFC" w:rsidRDefault="00581AFC" w:rsidP="00581AFC">
      <w:r>
        <w:t>Die möglichen Entsorgungswege sind zu nennen.</w:t>
      </w:r>
    </w:p>
    <w:p w:rsidR="00581AFC" w:rsidRDefault="00581AFC" w:rsidP="00581AFC">
      <w:r>
        <w:t>Die EAK-Abfallschlüsselnummer (Abfallcode nach europäischem Abfallverzeichnis) ist anzugeben.</w:t>
      </w:r>
    </w:p>
    <w:p w:rsidR="000C7B32" w:rsidRDefault="000C7B32" w:rsidP="00FB5D78"/>
    <w:p w:rsidR="000C7B32" w:rsidRDefault="000C7B32" w:rsidP="00F36433">
      <w:pPr>
        <w:pStyle w:val="berschrift2"/>
      </w:pPr>
      <w:bookmarkStart w:id="27" w:name="_Toc391985058"/>
      <w:r w:rsidRPr="007023D4">
        <w:t>Weitere Informationen</w:t>
      </w:r>
      <w:bookmarkEnd w:id="27"/>
    </w:p>
    <w:p w:rsidR="00F36433" w:rsidRPr="00F36433" w:rsidRDefault="00F36433" w:rsidP="00F36433"/>
    <w:p w:rsidR="006D1DAD" w:rsidRPr="007023D4" w:rsidRDefault="006D1DAD" w:rsidP="006D1DAD">
      <w:r w:rsidRPr="007023D4">
        <w:t>Optionale Angabe der Bezugsqu</w:t>
      </w:r>
      <w:r w:rsidR="007023D4">
        <w:t>elle von weiteren Informationen</w:t>
      </w:r>
      <w:r w:rsidRPr="007023D4">
        <w:t xml:space="preserve"> z.B. Homepage</w:t>
      </w:r>
    </w:p>
    <w:p w:rsidR="0021525F" w:rsidRDefault="0021525F">
      <w:pPr>
        <w:spacing w:after="200"/>
        <w:jc w:val="left"/>
        <w:rPr>
          <w:b/>
          <w:bCs/>
          <w:sz w:val="24"/>
          <w:szCs w:val="28"/>
        </w:rPr>
      </w:pPr>
      <w:r>
        <w:br w:type="page"/>
      </w:r>
    </w:p>
    <w:p w:rsidR="00CB3C0B" w:rsidRDefault="0007515B" w:rsidP="00F36433">
      <w:pPr>
        <w:pStyle w:val="berschrift1"/>
      </w:pPr>
      <w:bookmarkStart w:id="28" w:name="_Toc391985059"/>
      <w:r w:rsidRPr="00A43ADA">
        <w:lastRenderedPageBreak/>
        <w:t>Ökobilanz</w:t>
      </w:r>
      <w:bookmarkEnd w:id="28"/>
    </w:p>
    <w:p w:rsidR="00F36433" w:rsidRPr="00F36433" w:rsidRDefault="00F36433" w:rsidP="00F36433"/>
    <w:p w:rsidR="00661647" w:rsidRPr="00422BF7" w:rsidRDefault="00D70748" w:rsidP="00F36433">
      <w:pPr>
        <w:pStyle w:val="berschrift2"/>
      </w:pPr>
      <w:bookmarkStart w:id="29" w:name="_Toc391985060"/>
      <w:r w:rsidRPr="00422BF7">
        <w:t>Methodische Annahmen</w:t>
      </w:r>
      <w:bookmarkEnd w:id="29"/>
      <w:r w:rsidRPr="00422BF7">
        <w:t xml:space="preserve"> </w:t>
      </w:r>
    </w:p>
    <w:p w:rsidR="00581AFC" w:rsidRDefault="00581AFC" w:rsidP="00581AFC">
      <w:pPr>
        <w:pStyle w:val="KapitelUeberschrift2"/>
      </w:pPr>
      <w:r w:rsidRPr="00D25240">
        <w:t>4.1.1</w:t>
      </w:r>
      <w:r w:rsidRPr="00D25240">
        <w:tab/>
        <w:t xml:space="preserve">Spezielle Regeln für die Ökobilanz von </w:t>
      </w:r>
      <w:r>
        <w:t>Strohballendämmstoffen</w:t>
      </w:r>
    </w:p>
    <w:p w:rsidR="00581AFC" w:rsidRPr="00FE4A18" w:rsidRDefault="00581AFC" w:rsidP="00581AFC">
      <w:pPr>
        <w:pStyle w:val="StandardAbs"/>
        <w:rPr>
          <w:b/>
        </w:rPr>
      </w:pPr>
      <w:r w:rsidRPr="00FE4A18">
        <w:rPr>
          <w:b/>
        </w:rPr>
        <w:t>A1-A3</w:t>
      </w:r>
    </w:p>
    <w:p w:rsidR="00581AFC" w:rsidRDefault="00581AFC" w:rsidP="00581AFC">
      <w:pPr>
        <w:pStyle w:val="Aufzhlung"/>
      </w:pPr>
      <w:r w:rsidRPr="000E6E1F">
        <w:t xml:space="preserve">Energiegehalt und biogener Kohlenstoff </w:t>
      </w:r>
    </w:p>
    <w:p w:rsidR="006F1DE0" w:rsidRDefault="00581AFC" w:rsidP="006F1DE0">
      <w:pPr>
        <w:pStyle w:val="Aufzhlung"/>
        <w:numPr>
          <w:ilvl w:val="1"/>
          <w:numId w:val="2"/>
        </w:numPr>
      </w:pPr>
      <w:r w:rsidRPr="000E6E1F">
        <w:t>werden als Werkstoffeigenschaft betrachtet (ÖNORM EN 16485, 6.3.4.2). Für die</w:t>
      </w:r>
      <w:r w:rsidRPr="009F07A5">
        <w:t xml:space="preserve"> Bilanzierung </w:t>
      </w:r>
      <w:r>
        <w:t>wird der</w:t>
      </w:r>
      <w:r w:rsidRPr="009F07A5">
        <w:t xml:space="preserve"> </w:t>
      </w:r>
      <w:r>
        <w:t xml:space="preserve">im Stroh enthaltene </w:t>
      </w:r>
      <w:r w:rsidRPr="009F07A5">
        <w:t xml:space="preserve">Kohlenstoff am Systemeintritt negativ gerechnet. Die das System verlassenden Flüsse werden dementsprechend an der Systemgrenze </w:t>
      </w:r>
      <w:r w:rsidR="006F1DE0">
        <w:t>gegen</w:t>
      </w:r>
      <w:r w:rsidRPr="009F07A5">
        <w:t xml:space="preserve">gerechnet </w:t>
      </w:r>
      <w:r w:rsidR="006F1DE0">
        <w:t>– der biogene Kohlenstoff als Emission von Kohlendioxid, der Energiegehalt als Output erneuerbarer Primärenergie</w:t>
      </w:r>
      <w:r w:rsidR="006F1DE0" w:rsidRPr="009F07A5">
        <w:t xml:space="preserve"> </w:t>
      </w:r>
      <w:r w:rsidRPr="009F07A5">
        <w:t>(</w:t>
      </w:r>
      <w:r>
        <w:t xml:space="preserve">in Analogie zu </w:t>
      </w:r>
      <w:r w:rsidRPr="009F07A5">
        <w:t>ÖNORM EN 16485, Fig</w:t>
      </w:r>
      <w:r>
        <w:t>°</w:t>
      </w:r>
      <w:r w:rsidRPr="009F07A5">
        <w:t>1.)</w:t>
      </w:r>
      <w:r>
        <w:t xml:space="preserve">. Falls keine produktspezifischen Daten vorliegen, können die in der unten stehenden  </w:t>
      </w:r>
      <w:r>
        <w:fldChar w:fldCharType="begin"/>
      </w:r>
      <w:r>
        <w:instrText xml:space="preserve"> REF _Ref389666199 \h </w:instrText>
      </w:r>
      <w:r>
        <w:fldChar w:fldCharType="separate"/>
      </w:r>
      <w:r w:rsidR="00380BCC">
        <w:t xml:space="preserve">Tabelle </w:t>
      </w:r>
      <w:r w:rsidR="00380BCC">
        <w:rPr>
          <w:noProof/>
        </w:rPr>
        <w:t>3</w:t>
      </w:r>
      <w:r>
        <w:fldChar w:fldCharType="end"/>
      </w:r>
      <w:r>
        <w:fldChar w:fldCharType="begin"/>
      </w:r>
      <w:r>
        <w:instrText xml:space="preserve"> REF _Ref389666199 \h </w:instrText>
      </w:r>
      <w:r w:rsidR="00380BCC">
        <w:fldChar w:fldCharType="separate"/>
      </w:r>
      <w:r w:rsidR="00380BCC">
        <w:t xml:space="preserve">Tabelle </w:t>
      </w:r>
      <w:r w:rsidR="00380BCC">
        <w:rPr>
          <w:noProof/>
        </w:rPr>
        <w:t>3</w:t>
      </w:r>
      <w:r>
        <w:fldChar w:fldCharType="end"/>
      </w:r>
      <w:r>
        <w:t xml:space="preserve"> angeführten</w:t>
      </w:r>
      <w:r w:rsidRPr="004E53E8">
        <w:t xml:space="preserve"> Werte </w:t>
      </w:r>
      <w:r>
        <w:t xml:space="preserve">für Kohlenstoffgehalt herangezogen werden. </w:t>
      </w:r>
    </w:p>
    <w:p w:rsidR="00581AFC" w:rsidRDefault="00581AFC" w:rsidP="00581AFC">
      <w:pPr>
        <w:pStyle w:val="Aufzhlung"/>
      </w:pPr>
      <w:r>
        <w:t>Strohgewinnung:</w:t>
      </w:r>
    </w:p>
    <w:p w:rsidR="00581AFC" w:rsidRPr="0040701B" w:rsidRDefault="00581AFC" w:rsidP="00581AFC">
      <w:pPr>
        <w:pStyle w:val="Aufzhlung"/>
        <w:numPr>
          <w:ilvl w:val="1"/>
          <w:numId w:val="2"/>
        </w:numPr>
      </w:pPr>
      <w:r>
        <w:t>Werden die Strohballen</w:t>
      </w:r>
      <w:r w:rsidRPr="0040701B">
        <w:t xml:space="preserve"> als (Co-)Produkt</w:t>
      </w:r>
      <w:r>
        <w:t>e des Getreideanbaus betrachtet, ist</w:t>
      </w:r>
      <w:r w:rsidRPr="0040701B">
        <w:t xml:space="preserve"> der anteilige Aufwand </w:t>
      </w:r>
      <w:r>
        <w:t>der landwirtschaftlichen Prozess (</w:t>
      </w:r>
      <w:r w:rsidRPr="0040701B">
        <w:t>B</w:t>
      </w:r>
      <w:r>
        <w:t xml:space="preserve">ewirtschaftung der Ackerflächen, </w:t>
      </w:r>
      <w:r w:rsidRPr="0040701B">
        <w:t>Herstellung und Ausbringung von Dünge- und Spritzmitteln</w:t>
      </w:r>
      <w:r>
        <w:t>, Ernte)</w:t>
      </w:r>
      <w:r w:rsidRPr="0040701B">
        <w:t xml:space="preserve"> zu </w:t>
      </w:r>
      <w:r>
        <w:t>bilanzieren (ökonomische Allokation)</w:t>
      </w:r>
      <w:r w:rsidRPr="0040701B">
        <w:t xml:space="preserve">. </w:t>
      </w:r>
    </w:p>
    <w:p w:rsidR="00581AFC" w:rsidRDefault="00581AFC" w:rsidP="00581AFC">
      <w:pPr>
        <w:pStyle w:val="Aufzhlung"/>
        <w:numPr>
          <w:ilvl w:val="1"/>
          <w:numId w:val="2"/>
        </w:numPr>
      </w:pPr>
      <w:r w:rsidRPr="0040701B">
        <w:t xml:space="preserve">Fällt </w:t>
      </w:r>
      <w:r>
        <w:t>das Stroh</w:t>
      </w:r>
      <w:r w:rsidRPr="0040701B">
        <w:t xml:space="preserve"> als </w:t>
      </w:r>
      <w:proofErr w:type="spellStart"/>
      <w:r w:rsidRPr="0040701B">
        <w:t>Beiprodukt</w:t>
      </w:r>
      <w:proofErr w:type="spellEnd"/>
      <w:r w:rsidRPr="0040701B">
        <w:t xml:space="preserve"> der Landwirtschaft an</w:t>
      </w:r>
      <w:r w:rsidR="003853FB">
        <w:t xml:space="preserve"> und kann</w:t>
      </w:r>
      <w:r w:rsidR="00A33129">
        <w:t xml:space="preserve"> praktisch</w:t>
      </w:r>
      <w:r w:rsidRPr="00720C49">
        <w:t xml:space="preserve"> kein </w:t>
      </w:r>
      <w:r w:rsidR="003853FB" w:rsidRPr="00720C49">
        <w:t>ökonomische</w:t>
      </w:r>
      <w:r w:rsidR="003853FB">
        <w:t>r</w:t>
      </w:r>
      <w:r w:rsidR="003853FB" w:rsidRPr="00720C49">
        <w:t xml:space="preserve"> </w:t>
      </w:r>
      <w:r w:rsidRPr="00720C49">
        <w:t xml:space="preserve">Wert </w:t>
      </w:r>
      <w:r w:rsidR="003853FB">
        <w:t>mehr erzielt werden</w:t>
      </w:r>
      <w:r>
        <w:t>,</w:t>
      </w:r>
      <w:r w:rsidRPr="0040701B">
        <w:t xml:space="preserve"> </w:t>
      </w:r>
      <w:r>
        <w:t>liegt die Systemgrenze</w:t>
      </w:r>
      <w:r w:rsidRPr="0040701B">
        <w:t xml:space="preserve"> </w:t>
      </w:r>
      <w:r>
        <w:t>für Strohballen beim Einsammeln des Strohs bzw. der Strohballen am Acker.</w:t>
      </w:r>
    </w:p>
    <w:p w:rsidR="00581AFC" w:rsidRDefault="00581AFC" w:rsidP="00581AFC">
      <w:pPr>
        <w:pStyle w:val="Aufzhlung"/>
        <w:numPr>
          <w:ilvl w:val="1"/>
          <w:numId w:val="2"/>
        </w:numPr>
      </w:pPr>
      <w:r>
        <w:t xml:space="preserve">Wenn keine spezifischen Daten vorliegen, können folgende </w:t>
      </w:r>
      <w:r w:rsidR="00F32222">
        <w:t>E</w:t>
      </w:r>
      <w:r>
        <w:t>coinvent-Daten für die Bilanzierung der Strohgewinnung herangezogen werden:</w:t>
      </w:r>
    </w:p>
    <w:p w:rsidR="00581AFC" w:rsidRDefault="00581AFC" w:rsidP="00581AFC">
      <w:pPr>
        <w:pStyle w:val="Aufzhlung"/>
        <w:numPr>
          <w:ilvl w:val="2"/>
          <w:numId w:val="2"/>
        </w:numPr>
        <w:rPr>
          <w:lang w:val="en-US"/>
        </w:rPr>
      </w:pPr>
      <w:r w:rsidRPr="002F2F3E">
        <w:rPr>
          <w:lang w:val="en-US"/>
        </w:rPr>
        <w:t xml:space="preserve">Wheat straw extensive, at farm/CH S </w:t>
      </w:r>
      <w:r w:rsidRPr="002F2F3E">
        <w:rPr>
          <w:lang w:val="en-US"/>
        </w:rPr>
        <w:tab/>
      </w:r>
    </w:p>
    <w:p w:rsidR="00581AFC" w:rsidRDefault="00581AFC" w:rsidP="00581AFC">
      <w:pPr>
        <w:pStyle w:val="Aufzhlung"/>
        <w:numPr>
          <w:ilvl w:val="2"/>
          <w:numId w:val="2"/>
        </w:numPr>
        <w:rPr>
          <w:lang w:val="en-US"/>
        </w:rPr>
      </w:pPr>
      <w:r w:rsidRPr="002F2F3E">
        <w:rPr>
          <w:lang w:val="en-US"/>
        </w:rPr>
        <w:t xml:space="preserve">Barley straw extensive, at farm/CH S </w:t>
      </w:r>
      <w:r w:rsidRPr="002F2F3E">
        <w:rPr>
          <w:lang w:val="en-US"/>
        </w:rPr>
        <w:tab/>
      </w:r>
    </w:p>
    <w:p w:rsidR="00581AFC" w:rsidRDefault="00581AFC" w:rsidP="00581AFC">
      <w:pPr>
        <w:pStyle w:val="Aufzhlung"/>
        <w:numPr>
          <w:ilvl w:val="2"/>
          <w:numId w:val="2"/>
        </w:numPr>
        <w:rPr>
          <w:lang w:val="en-US"/>
        </w:rPr>
      </w:pPr>
      <w:r w:rsidRPr="002F2F3E">
        <w:rPr>
          <w:lang w:val="en-US"/>
        </w:rPr>
        <w:t xml:space="preserve">Rye straw conventional, at farm/RER S </w:t>
      </w:r>
      <w:r w:rsidRPr="002F2F3E">
        <w:rPr>
          <w:lang w:val="en-US"/>
        </w:rPr>
        <w:tab/>
      </w:r>
    </w:p>
    <w:p w:rsidR="00581AFC" w:rsidRDefault="00581AFC" w:rsidP="00581AFC">
      <w:pPr>
        <w:pStyle w:val="Aufzhlung"/>
        <w:numPr>
          <w:ilvl w:val="2"/>
          <w:numId w:val="2"/>
        </w:numPr>
        <w:rPr>
          <w:lang w:val="en-US"/>
        </w:rPr>
      </w:pPr>
      <w:r w:rsidRPr="002F2F3E">
        <w:rPr>
          <w:lang w:val="en-US"/>
        </w:rPr>
        <w:t xml:space="preserve">Rye straw extensive, at farm/CH S </w:t>
      </w:r>
      <w:r w:rsidRPr="002F2F3E">
        <w:rPr>
          <w:lang w:val="en-US"/>
        </w:rPr>
        <w:tab/>
      </w:r>
    </w:p>
    <w:p w:rsidR="00581AFC" w:rsidRDefault="00581AFC" w:rsidP="00581AFC">
      <w:pPr>
        <w:pStyle w:val="Aufzhlung"/>
        <w:numPr>
          <w:ilvl w:val="2"/>
          <w:numId w:val="2"/>
        </w:numPr>
        <w:rPr>
          <w:lang w:val="en-US"/>
        </w:rPr>
      </w:pPr>
      <w:r w:rsidRPr="002F2F3E">
        <w:rPr>
          <w:lang w:val="en-US"/>
        </w:rPr>
        <w:t xml:space="preserve">Rye straw IP, at farm/CH S </w:t>
      </w:r>
      <w:r w:rsidRPr="002F2F3E">
        <w:rPr>
          <w:lang w:val="en-US"/>
        </w:rPr>
        <w:tab/>
      </w:r>
    </w:p>
    <w:p w:rsidR="00581AFC" w:rsidRPr="002F2F3E" w:rsidRDefault="00581AFC" w:rsidP="00581AFC">
      <w:pPr>
        <w:pStyle w:val="Aufzhlung"/>
        <w:numPr>
          <w:ilvl w:val="2"/>
          <w:numId w:val="2"/>
        </w:numPr>
        <w:rPr>
          <w:lang w:val="en-US"/>
        </w:rPr>
      </w:pPr>
      <w:r w:rsidRPr="002F2F3E">
        <w:rPr>
          <w:lang w:val="en-US"/>
        </w:rPr>
        <w:t>Rye straw organic, at farm/CH S</w:t>
      </w:r>
    </w:p>
    <w:p w:rsidR="00581AFC" w:rsidRPr="00E77DE3" w:rsidRDefault="00581AFC" w:rsidP="00581AFC">
      <w:pPr>
        <w:pStyle w:val="StandardAbs"/>
        <w:rPr>
          <w:b/>
        </w:rPr>
      </w:pPr>
      <w:r w:rsidRPr="00E77DE3">
        <w:rPr>
          <w:b/>
        </w:rPr>
        <w:t>A4-A5</w:t>
      </w:r>
    </w:p>
    <w:p w:rsidR="00581AFC" w:rsidRDefault="00581AFC" w:rsidP="00581AFC">
      <w:pPr>
        <w:pStyle w:val="Aufzhlung"/>
      </w:pPr>
      <w:r>
        <w:t>Nebenprodukte</w:t>
      </w:r>
    </w:p>
    <w:p w:rsidR="00581AFC" w:rsidRDefault="00581AFC" w:rsidP="00581AFC">
      <w:pPr>
        <w:pStyle w:val="Aufzhlung"/>
        <w:numPr>
          <w:ilvl w:val="1"/>
          <w:numId w:val="2"/>
        </w:numPr>
      </w:pPr>
      <w:r w:rsidRPr="002F2F3E">
        <w:t>Strohreste, die beim Ei</w:t>
      </w:r>
      <w:r>
        <w:t xml:space="preserve">nbau anfallen, können als Streu, </w:t>
      </w:r>
      <w:r w:rsidRPr="002F2F3E">
        <w:t xml:space="preserve">in Biogasanlagen oder als Brennstoff </w:t>
      </w:r>
      <w:r>
        <w:t>verwertet</w:t>
      </w:r>
      <w:r w:rsidRPr="002F2F3E">
        <w:t xml:space="preserve"> werden.</w:t>
      </w:r>
      <w:r>
        <w:t xml:space="preserve"> Szenarien für die Verbrennung sind in Übereinstimmung mit C1-C4 zu treffen.</w:t>
      </w:r>
    </w:p>
    <w:p w:rsidR="00581AFC" w:rsidRPr="00E77DE3" w:rsidRDefault="00581AFC" w:rsidP="00581AFC">
      <w:pPr>
        <w:pStyle w:val="StandardAbs"/>
        <w:rPr>
          <w:b/>
        </w:rPr>
      </w:pPr>
      <w:r w:rsidRPr="00E77DE3">
        <w:rPr>
          <w:b/>
        </w:rPr>
        <w:t>B1-B7</w:t>
      </w:r>
    </w:p>
    <w:p w:rsidR="00581AFC" w:rsidRDefault="00581AFC" w:rsidP="00581AFC">
      <w:pPr>
        <w:pStyle w:val="Aufzhlung"/>
      </w:pPr>
      <w:r>
        <w:t xml:space="preserve">Die Stadien B1 Nutzung, B2 Instandhaltung und B3 Reparatur sind für die vorliegende Produktgruppe nicht </w:t>
      </w:r>
      <w:r w:rsidRPr="00354012">
        <w:t>relevant. Das</w:t>
      </w:r>
      <w:r>
        <w:t xml:space="preserve"> Stadium B4 Ersatz ist gleichbedeutend mit dem Produktlebensende. Es fallen keine Stoff- und Energieflüsse bei der Entnahme des Produkts an. Die Stadien B5 Umbau/Erneuerung, B6 Energieeinsatz und B7 Wassereinsatz sind auf Dämmstoffebene nicht anwendbar. </w:t>
      </w:r>
    </w:p>
    <w:p w:rsidR="00581AFC" w:rsidRPr="00354012" w:rsidRDefault="00581AFC" w:rsidP="00581AFC">
      <w:pPr>
        <w:pStyle w:val="Aufzhlung"/>
      </w:pPr>
      <w:r w:rsidRPr="00354012">
        <w:t>Daher: Keine produktgruppenspezifischen Regeln</w:t>
      </w:r>
    </w:p>
    <w:p w:rsidR="00581AFC" w:rsidRPr="00E77DE3" w:rsidRDefault="00581AFC" w:rsidP="00581AFC">
      <w:pPr>
        <w:pStyle w:val="StandardAbs"/>
        <w:rPr>
          <w:b/>
        </w:rPr>
      </w:pPr>
      <w:r w:rsidRPr="00E77DE3">
        <w:rPr>
          <w:b/>
        </w:rPr>
        <w:t xml:space="preserve">C1 - </w:t>
      </w:r>
      <w:r>
        <w:rPr>
          <w:b/>
        </w:rPr>
        <w:t>C4</w:t>
      </w:r>
    </w:p>
    <w:p w:rsidR="00581AFC" w:rsidRDefault="00581AFC" w:rsidP="00581AFC">
      <w:pPr>
        <w:pStyle w:val="Aufzhlung"/>
      </w:pPr>
      <w:r>
        <w:t>Wird die Entsorgungsphase bilanziert, muss mindestens ein Szenario mit Verbrennung des Dämmstoffs enthalten sein. Die Prozesse der Abfallsammlung und –</w:t>
      </w:r>
      <w:proofErr w:type="spellStart"/>
      <w:r>
        <w:t>behandlung</w:t>
      </w:r>
      <w:proofErr w:type="spellEnd"/>
      <w:r>
        <w:t xml:space="preserve"> bei </w:t>
      </w:r>
      <w:r w:rsidRPr="004B0984">
        <w:t>thermische</w:t>
      </w:r>
      <w:r>
        <w:t>r Verwertung liegen innerhalb des Produktsystems und werden in C3 betrachtet. Wenn keine produktspezifischen Werte vorliegen, kann der Heizwert folgendermaßen berechnet werden.</w:t>
      </w:r>
    </w:p>
    <w:p w:rsidR="00581AFC" w:rsidRDefault="00581AFC" w:rsidP="00581AFC">
      <w:pPr>
        <w:pStyle w:val="Aufzhlung"/>
        <w:numPr>
          <w:ilvl w:val="0"/>
          <w:numId w:val="0"/>
        </w:numPr>
        <w:ind w:left="340"/>
        <w:jc w:val="center"/>
      </w:pPr>
      <w:r>
        <w:rPr>
          <w:noProof/>
          <w:lang w:val="de-AT" w:eastAsia="de-AT"/>
        </w:rPr>
        <w:drawing>
          <wp:inline distT="0" distB="0" distL="0" distR="0" wp14:anchorId="0678C73E" wp14:editId="62804BC5">
            <wp:extent cx="1828572" cy="380952"/>
            <wp:effectExtent l="0" t="0" r="635"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28572" cy="380952"/>
                    </a:xfrm>
                    <a:prstGeom prst="rect">
                      <a:avLst/>
                    </a:prstGeom>
                  </pic:spPr>
                </pic:pic>
              </a:graphicData>
            </a:graphic>
          </wp:inline>
        </w:drawing>
      </w:r>
    </w:p>
    <w:p w:rsidR="00581AFC" w:rsidRDefault="00581AFC" w:rsidP="00581AFC">
      <w:pPr>
        <w:pStyle w:val="Aufzhlung"/>
        <w:numPr>
          <w:ilvl w:val="0"/>
          <w:numId w:val="0"/>
        </w:numPr>
        <w:tabs>
          <w:tab w:val="clear" w:pos="2477"/>
        </w:tabs>
        <w:ind w:left="709"/>
      </w:pPr>
      <w:r>
        <w:t>w</w:t>
      </w:r>
      <w:r w:rsidRPr="009039B8">
        <w:t>obei:</w:t>
      </w:r>
    </w:p>
    <w:p w:rsidR="00581AFC" w:rsidRDefault="00581AFC" w:rsidP="00581AFC">
      <w:pPr>
        <w:pStyle w:val="Aufzhlung"/>
        <w:numPr>
          <w:ilvl w:val="0"/>
          <w:numId w:val="0"/>
        </w:numPr>
        <w:tabs>
          <w:tab w:val="clear" w:pos="2477"/>
        </w:tabs>
        <w:ind w:left="709"/>
      </w:pPr>
      <w:proofErr w:type="spellStart"/>
      <w:r>
        <w:t>H</w:t>
      </w:r>
      <w:r w:rsidRPr="009039B8">
        <w:rPr>
          <w:vertAlign w:val="subscript"/>
        </w:rPr>
        <w:t>n,v</w:t>
      </w:r>
      <w:proofErr w:type="spellEnd"/>
      <w:r>
        <w:rPr>
          <w:vertAlign w:val="subscript"/>
        </w:rPr>
        <w:tab/>
      </w:r>
      <w:r>
        <w:t xml:space="preserve">… </w:t>
      </w:r>
      <w:r>
        <w:tab/>
        <w:t>(unterer) Heizwert in MJ/kg</w:t>
      </w:r>
    </w:p>
    <w:p w:rsidR="00581AFC" w:rsidRDefault="00581AFC" w:rsidP="00581AFC">
      <w:pPr>
        <w:pStyle w:val="Aufzhlung"/>
        <w:numPr>
          <w:ilvl w:val="0"/>
          <w:numId w:val="0"/>
        </w:numPr>
        <w:tabs>
          <w:tab w:val="clear" w:pos="2477"/>
        </w:tabs>
        <w:ind w:left="709"/>
      </w:pPr>
      <w:proofErr w:type="spellStart"/>
      <w:r>
        <w:t>H</w:t>
      </w:r>
      <w:r w:rsidRPr="009039B8">
        <w:rPr>
          <w:vertAlign w:val="subscript"/>
        </w:rPr>
        <w:t>n</w:t>
      </w:r>
      <w:proofErr w:type="spellEnd"/>
      <w:r>
        <w:t xml:space="preserve"> </w:t>
      </w:r>
      <w:r>
        <w:tab/>
        <w:t xml:space="preserve">… </w:t>
      </w:r>
      <w:r>
        <w:tab/>
        <w:t>oberer Heizwert (Brennwert) in MJ/kg</w:t>
      </w:r>
    </w:p>
    <w:p w:rsidR="00581AFC" w:rsidRDefault="00581AFC" w:rsidP="00581AFC">
      <w:pPr>
        <w:pStyle w:val="Aufzhlung"/>
        <w:numPr>
          <w:ilvl w:val="0"/>
          <w:numId w:val="0"/>
        </w:numPr>
        <w:tabs>
          <w:tab w:val="clear" w:pos="2477"/>
        </w:tabs>
        <w:ind w:left="709"/>
      </w:pPr>
      <w:r>
        <w:t xml:space="preserve">F </w:t>
      </w:r>
      <w:r>
        <w:tab/>
        <w:t xml:space="preserve">… </w:t>
      </w:r>
      <w:r>
        <w:tab/>
        <w:t>Feuchtegehalt des Produkts in Prozent vom Gesamtgewicht</w:t>
      </w:r>
    </w:p>
    <w:p w:rsidR="00581AFC" w:rsidRPr="009039B8" w:rsidRDefault="00581AFC" w:rsidP="00581AFC">
      <w:pPr>
        <w:pStyle w:val="Aufzhlung"/>
        <w:numPr>
          <w:ilvl w:val="0"/>
          <w:numId w:val="0"/>
        </w:numPr>
        <w:tabs>
          <w:tab w:val="clear" w:pos="2477"/>
        </w:tabs>
        <w:ind w:left="709"/>
      </w:pPr>
      <w:r>
        <w:t xml:space="preserve">2,442 </w:t>
      </w:r>
      <w:r>
        <w:tab/>
        <w:t>…</w:t>
      </w:r>
      <w:r>
        <w:tab/>
        <w:t>latente Verdampfungswärme von Wasser bei 25 °C (MJ/kg)</w:t>
      </w:r>
    </w:p>
    <w:p w:rsidR="00581AFC" w:rsidRDefault="00581AFC" w:rsidP="00581AFC">
      <w:pPr>
        <w:ind w:left="709"/>
      </w:pPr>
      <w:r w:rsidRPr="009039B8">
        <w:lastRenderedPageBreak/>
        <w:t xml:space="preserve">Brennwerte (Obere Heizwerte) für diverse </w:t>
      </w:r>
      <w:r>
        <w:t xml:space="preserve">erneuerbare Rohstoffe </w:t>
      </w:r>
      <w:r w:rsidRPr="009039B8">
        <w:t>sind in folgender Tabelle zu finden:</w:t>
      </w:r>
    </w:p>
    <w:p w:rsidR="00581AFC" w:rsidRDefault="00581AFC" w:rsidP="00581AFC">
      <w:pPr>
        <w:ind w:left="709"/>
      </w:pPr>
      <w:r>
        <w:t>Die restlichen Produktkomponenten (Flammschutzmittel, Bindemittel, etc.) sind entsprechend zu berücksichtigen.</w:t>
      </w:r>
    </w:p>
    <w:p w:rsidR="00581AFC" w:rsidRDefault="00581AFC" w:rsidP="00581AFC">
      <w:pPr>
        <w:ind w:left="709"/>
      </w:pPr>
    </w:p>
    <w:p w:rsidR="00581AFC" w:rsidRDefault="00581AFC" w:rsidP="00581AFC">
      <w:pPr>
        <w:ind w:left="709"/>
      </w:pPr>
      <w:r>
        <w:t>Es können weitere Szenarien für Recycling erstellt werden.</w:t>
      </w:r>
    </w:p>
    <w:p w:rsidR="00581AFC" w:rsidRDefault="00581AFC" w:rsidP="00581AFC">
      <w:pPr>
        <w:ind w:left="709"/>
      </w:pPr>
    </w:p>
    <w:p w:rsidR="00581AFC" w:rsidRPr="00586615" w:rsidRDefault="00581AFC" w:rsidP="00581AFC">
      <w:pPr>
        <w:pStyle w:val="Beschriftung"/>
        <w:ind w:firstLine="708"/>
      </w:pPr>
      <w:bookmarkStart w:id="30" w:name="_Ref389666199"/>
      <w:r>
        <w:t xml:space="preserve">Tabelle </w:t>
      </w:r>
      <w:fldSimple w:instr=" SEQ Tabelle \* ARABIC ">
        <w:r w:rsidR="00380BCC">
          <w:rPr>
            <w:noProof/>
          </w:rPr>
          <w:t>3</w:t>
        </w:r>
      </w:fldSimple>
      <w:bookmarkEnd w:id="30"/>
      <w:r>
        <w:t xml:space="preserve">: Brennstoffdaten für Stroh (Quelle: </w:t>
      </w:r>
      <w:r w:rsidRPr="004E53E8">
        <w:t>www.bhkw-anlagen.com</w:t>
      </w:r>
      <w:r>
        <w:t>)</w:t>
      </w:r>
    </w:p>
    <w:tbl>
      <w:tblPr>
        <w:tblStyle w:val="Tabellenraster"/>
        <w:tblW w:w="5353" w:type="dxa"/>
        <w:tblInd w:w="709" w:type="dxa"/>
        <w:tblLook w:val="04A0" w:firstRow="1" w:lastRow="0" w:firstColumn="1" w:lastColumn="0" w:noHBand="0" w:noVBand="1"/>
      </w:tblPr>
      <w:tblGrid>
        <w:gridCol w:w="2801"/>
        <w:gridCol w:w="1330"/>
        <w:gridCol w:w="1222"/>
      </w:tblGrid>
      <w:tr w:rsidR="00581AFC" w:rsidRPr="00B560F6" w:rsidTr="00265FCC">
        <w:tc>
          <w:tcPr>
            <w:tcW w:w="2801" w:type="dxa"/>
            <w:shd w:val="clear" w:color="auto" w:fill="C6D9F1" w:themeFill="text2" w:themeFillTint="33"/>
          </w:tcPr>
          <w:p w:rsidR="00581AFC" w:rsidRPr="00B560F6" w:rsidRDefault="00581AFC" w:rsidP="008D0D12">
            <w:pPr>
              <w:rPr>
                <w:b/>
              </w:rPr>
            </w:pPr>
            <w:r w:rsidRPr="00B560F6">
              <w:rPr>
                <w:b/>
              </w:rPr>
              <w:t>Rohstoff/Produkt</w:t>
            </w:r>
          </w:p>
        </w:tc>
        <w:tc>
          <w:tcPr>
            <w:tcW w:w="1330" w:type="dxa"/>
            <w:shd w:val="clear" w:color="auto" w:fill="C6D9F1" w:themeFill="text2" w:themeFillTint="33"/>
          </w:tcPr>
          <w:p w:rsidR="00581AFC" w:rsidRPr="004E53E8" w:rsidRDefault="00581AFC" w:rsidP="008D0D12">
            <w:pPr>
              <w:jc w:val="center"/>
              <w:rPr>
                <w:b/>
              </w:rPr>
            </w:pPr>
            <w:r w:rsidRPr="004E53E8">
              <w:rPr>
                <w:b/>
              </w:rPr>
              <w:t>Gelbes Stroh</w:t>
            </w:r>
          </w:p>
        </w:tc>
        <w:tc>
          <w:tcPr>
            <w:tcW w:w="1222" w:type="dxa"/>
            <w:shd w:val="clear" w:color="auto" w:fill="C6D9F1" w:themeFill="text2" w:themeFillTint="33"/>
          </w:tcPr>
          <w:p w:rsidR="00581AFC" w:rsidRPr="004E53E8" w:rsidRDefault="00581AFC" w:rsidP="008D0D12">
            <w:pPr>
              <w:jc w:val="center"/>
              <w:rPr>
                <w:b/>
              </w:rPr>
            </w:pPr>
            <w:r w:rsidRPr="004E53E8">
              <w:rPr>
                <w:b/>
              </w:rPr>
              <w:t>Graues Stroh</w:t>
            </w:r>
          </w:p>
        </w:tc>
      </w:tr>
      <w:tr w:rsidR="00581AFC" w:rsidRPr="009039B8" w:rsidTr="00265FCC">
        <w:tc>
          <w:tcPr>
            <w:tcW w:w="2801" w:type="dxa"/>
          </w:tcPr>
          <w:p w:rsidR="00581AFC" w:rsidRPr="004E53E8" w:rsidRDefault="00581AFC" w:rsidP="008D0D12">
            <w:r w:rsidRPr="004E53E8">
              <w:t>Feuchtegehalt</w:t>
            </w:r>
          </w:p>
        </w:tc>
        <w:tc>
          <w:tcPr>
            <w:tcW w:w="1330" w:type="dxa"/>
          </w:tcPr>
          <w:p w:rsidR="00581AFC" w:rsidRPr="009039B8" w:rsidRDefault="00581AFC" w:rsidP="008D0D12">
            <w:pPr>
              <w:jc w:val="center"/>
            </w:pPr>
            <w:r>
              <w:t>10-20 %</w:t>
            </w:r>
          </w:p>
        </w:tc>
        <w:tc>
          <w:tcPr>
            <w:tcW w:w="1222" w:type="dxa"/>
          </w:tcPr>
          <w:p w:rsidR="00581AFC" w:rsidRPr="009039B8" w:rsidRDefault="00581AFC" w:rsidP="008D0D12">
            <w:pPr>
              <w:jc w:val="center"/>
            </w:pPr>
            <w:r>
              <w:t>10-20 %</w:t>
            </w:r>
          </w:p>
        </w:tc>
      </w:tr>
      <w:tr w:rsidR="00581AFC" w:rsidRPr="009039B8" w:rsidTr="00265FCC">
        <w:tc>
          <w:tcPr>
            <w:tcW w:w="2801" w:type="dxa"/>
          </w:tcPr>
          <w:p w:rsidR="00581AFC" w:rsidRPr="004E53E8" w:rsidRDefault="00581AFC" w:rsidP="008D0D12">
            <w:r>
              <w:t>Flüchtige Bestandteile</w:t>
            </w:r>
          </w:p>
        </w:tc>
        <w:tc>
          <w:tcPr>
            <w:tcW w:w="1330" w:type="dxa"/>
          </w:tcPr>
          <w:p w:rsidR="00581AFC" w:rsidRPr="009039B8" w:rsidRDefault="00581AFC" w:rsidP="008D0D12">
            <w:pPr>
              <w:jc w:val="center"/>
            </w:pPr>
            <w:r>
              <w:t>&gt; 70 %</w:t>
            </w:r>
          </w:p>
        </w:tc>
        <w:tc>
          <w:tcPr>
            <w:tcW w:w="1222" w:type="dxa"/>
          </w:tcPr>
          <w:p w:rsidR="00581AFC" w:rsidRPr="009039B8" w:rsidRDefault="00581AFC" w:rsidP="008D0D12">
            <w:pPr>
              <w:jc w:val="center"/>
            </w:pPr>
            <w:r>
              <w:t>&gt; 70 %</w:t>
            </w:r>
          </w:p>
        </w:tc>
      </w:tr>
      <w:tr w:rsidR="00581AFC" w:rsidRPr="009039B8" w:rsidTr="00265FCC">
        <w:tc>
          <w:tcPr>
            <w:tcW w:w="2801" w:type="dxa"/>
          </w:tcPr>
          <w:p w:rsidR="00581AFC" w:rsidRPr="004E53E8" w:rsidRDefault="00581AFC" w:rsidP="008D0D12">
            <w:r>
              <w:t>Asche</w:t>
            </w:r>
          </w:p>
        </w:tc>
        <w:tc>
          <w:tcPr>
            <w:tcW w:w="1330" w:type="dxa"/>
          </w:tcPr>
          <w:p w:rsidR="00581AFC" w:rsidRDefault="00581AFC" w:rsidP="008D0D12">
            <w:pPr>
              <w:jc w:val="center"/>
            </w:pPr>
            <w:r>
              <w:t>4 %</w:t>
            </w:r>
          </w:p>
        </w:tc>
        <w:tc>
          <w:tcPr>
            <w:tcW w:w="1222" w:type="dxa"/>
          </w:tcPr>
          <w:p w:rsidR="00581AFC" w:rsidRDefault="00581AFC" w:rsidP="008D0D12">
            <w:pPr>
              <w:jc w:val="center"/>
            </w:pPr>
            <w:r>
              <w:t>3 %</w:t>
            </w:r>
          </w:p>
        </w:tc>
      </w:tr>
      <w:tr w:rsidR="00581AFC" w:rsidRPr="009039B8" w:rsidTr="00265FCC">
        <w:tc>
          <w:tcPr>
            <w:tcW w:w="2801" w:type="dxa"/>
          </w:tcPr>
          <w:p w:rsidR="00581AFC" w:rsidRPr="004E53E8" w:rsidRDefault="00581AFC" w:rsidP="008D0D12">
            <w:r w:rsidRPr="004E53E8">
              <w:t>Kohlenstoff</w:t>
            </w:r>
          </w:p>
        </w:tc>
        <w:tc>
          <w:tcPr>
            <w:tcW w:w="1330" w:type="dxa"/>
          </w:tcPr>
          <w:p w:rsidR="00581AFC" w:rsidRDefault="00581AFC" w:rsidP="008D0D12">
            <w:pPr>
              <w:jc w:val="center"/>
            </w:pPr>
            <w:r>
              <w:t>42 %</w:t>
            </w:r>
          </w:p>
        </w:tc>
        <w:tc>
          <w:tcPr>
            <w:tcW w:w="1222" w:type="dxa"/>
          </w:tcPr>
          <w:p w:rsidR="00581AFC" w:rsidRDefault="00581AFC" w:rsidP="008D0D12">
            <w:pPr>
              <w:jc w:val="center"/>
            </w:pPr>
            <w:r>
              <w:t>43 %</w:t>
            </w:r>
          </w:p>
        </w:tc>
      </w:tr>
      <w:tr w:rsidR="00581AFC" w:rsidRPr="009039B8" w:rsidTr="00265FCC">
        <w:tc>
          <w:tcPr>
            <w:tcW w:w="2801" w:type="dxa"/>
          </w:tcPr>
          <w:p w:rsidR="00581AFC" w:rsidRDefault="00581AFC" w:rsidP="008D0D12">
            <w:r>
              <w:t>Wasserstoff</w:t>
            </w:r>
          </w:p>
        </w:tc>
        <w:tc>
          <w:tcPr>
            <w:tcW w:w="1330" w:type="dxa"/>
          </w:tcPr>
          <w:p w:rsidR="00581AFC" w:rsidRDefault="00581AFC" w:rsidP="008D0D12">
            <w:pPr>
              <w:jc w:val="center"/>
            </w:pPr>
            <w:r>
              <w:t>5 %</w:t>
            </w:r>
          </w:p>
        </w:tc>
        <w:tc>
          <w:tcPr>
            <w:tcW w:w="1222" w:type="dxa"/>
          </w:tcPr>
          <w:p w:rsidR="00581AFC" w:rsidRDefault="00581AFC" w:rsidP="008D0D12">
            <w:pPr>
              <w:jc w:val="center"/>
            </w:pPr>
            <w:r>
              <w:t>5,2 %</w:t>
            </w:r>
          </w:p>
        </w:tc>
      </w:tr>
      <w:tr w:rsidR="00581AFC" w:rsidRPr="009039B8" w:rsidTr="00265FCC">
        <w:tc>
          <w:tcPr>
            <w:tcW w:w="2801" w:type="dxa"/>
          </w:tcPr>
          <w:p w:rsidR="00581AFC" w:rsidRDefault="00581AFC" w:rsidP="008D0D12">
            <w:r>
              <w:t>Sauerstoff</w:t>
            </w:r>
          </w:p>
        </w:tc>
        <w:tc>
          <w:tcPr>
            <w:tcW w:w="1330" w:type="dxa"/>
          </w:tcPr>
          <w:p w:rsidR="00581AFC" w:rsidRDefault="00581AFC" w:rsidP="008D0D12">
            <w:pPr>
              <w:jc w:val="center"/>
            </w:pPr>
            <w:r>
              <w:t>37 %</w:t>
            </w:r>
          </w:p>
        </w:tc>
        <w:tc>
          <w:tcPr>
            <w:tcW w:w="1222" w:type="dxa"/>
          </w:tcPr>
          <w:p w:rsidR="00581AFC" w:rsidRDefault="00581AFC" w:rsidP="008D0D12">
            <w:pPr>
              <w:jc w:val="center"/>
            </w:pPr>
            <w:r>
              <w:t>38 %</w:t>
            </w:r>
          </w:p>
        </w:tc>
      </w:tr>
      <w:tr w:rsidR="00581AFC" w:rsidRPr="009039B8" w:rsidTr="00265FCC">
        <w:tc>
          <w:tcPr>
            <w:tcW w:w="2801" w:type="dxa"/>
          </w:tcPr>
          <w:p w:rsidR="00581AFC" w:rsidRDefault="00581AFC" w:rsidP="008D0D12">
            <w:r>
              <w:t>Chlorid</w:t>
            </w:r>
          </w:p>
        </w:tc>
        <w:tc>
          <w:tcPr>
            <w:tcW w:w="1330" w:type="dxa"/>
          </w:tcPr>
          <w:p w:rsidR="00581AFC" w:rsidRDefault="00581AFC" w:rsidP="008D0D12">
            <w:pPr>
              <w:jc w:val="center"/>
            </w:pPr>
            <w:r>
              <w:t>0,75 %</w:t>
            </w:r>
          </w:p>
        </w:tc>
        <w:tc>
          <w:tcPr>
            <w:tcW w:w="1222" w:type="dxa"/>
          </w:tcPr>
          <w:p w:rsidR="00581AFC" w:rsidRDefault="00581AFC" w:rsidP="008D0D12">
            <w:pPr>
              <w:jc w:val="center"/>
            </w:pPr>
            <w:r>
              <w:t>0,2 %</w:t>
            </w:r>
          </w:p>
        </w:tc>
      </w:tr>
      <w:tr w:rsidR="00581AFC" w:rsidRPr="009039B8" w:rsidTr="00265FCC">
        <w:tc>
          <w:tcPr>
            <w:tcW w:w="2801" w:type="dxa"/>
          </w:tcPr>
          <w:p w:rsidR="00581AFC" w:rsidRDefault="00581AFC" w:rsidP="008D0D12">
            <w:r>
              <w:t>Stickstoff</w:t>
            </w:r>
          </w:p>
        </w:tc>
        <w:tc>
          <w:tcPr>
            <w:tcW w:w="1330" w:type="dxa"/>
          </w:tcPr>
          <w:p w:rsidR="00581AFC" w:rsidRDefault="00581AFC" w:rsidP="008D0D12">
            <w:pPr>
              <w:jc w:val="center"/>
            </w:pPr>
            <w:r>
              <w:t>0,35 %</w:t>
            </w:r>
          </w:p>
        </w:tc>
        <w:tc>
          <w:tcPr>
            <w:tcW w:w="1222" w:type="dxa"/>
          </w:tcPr>
          <w:p w:rsidR="00581AFC" w:rsidRDefault="00581AFC" w:rsidP="008D0D12">
            <w:pPr>
              <w:jc w:val="center"/>
            </w:pPr>
            <w:r>
              <w:t>0,41 %</w:t>
            </w:r>
          </w:p>
        </w:tc>
      </w:tr>
      <w:tr w:rsidR="00581AFC" w:rsidRPr="009039B8" w:rsidTr="00265FCC">
        <w:tc>
          <w:tcPr>
            <w:tcW w:w="2801" w:type="dxa"/>
          </w:tcPr>
          <w:p w:rsidR="00581AFC" w:rsidRDefault="00581AFC" w:rsidP="008D0D12">
            <w:r>
              <w:t>Schwefel</w:t>
            </w:r>
          </w:p>
        </w:tc>
        <w:tc>
          <w:tcPr>
            <w:tcW w:w="1330" w:type="dxa"/>
          </w:tcPr>
          <w:p w:rsidR="00581AFC" w:rsidRDefault="00581AFC" w:rsidP="008D0D12">
            <w:pPr>
              <w:jc w:val="center"/>
            </w:pPr>
            <w:r>
              <w:t>0,16 %</w:t>
            </w:r>
          </w:p>
        </w:tc>
        <w:tc>
          <w:tcPr>
            <w:tcW w:w="1222" w:type="dxa"/>
          </w:tcPr>
          <w:p w:rsidR="00581AFC" w:rsidRDefault="00581AFC" w:rsidP="008D0D12">
            <w:pPr>
              <w:jc w:val="center"/>
            </w:pPr>
            <w:r>
              <w:t>0,13 %</w:t>
            </w:r>
          </w:p>
        </w:tc>
      </w:tr>
      <w:tr w:rsidR="00581AFC" w:rsidRPr="009039B8" w:rsidTr="00265FCC">
        <w:tc>
          <w:tcPr>
            <w:tcW w:w="2801" w:type="dxa"/>
          </w:tcPr>
          <w:p w:rsidR="00581AFC" w:rsidRPr="004E53E8" w:rsidRDefault="00581AFC" w:rsidP="008D0D12">
            <w:r w:rsidRPr="004E53E8">
              <w:t>Brennwert</w:t>
            </w:r>
          </w:p>
        </w:tc>
        <w:tc>
          <w:tcPr>
            <w:tcW w:w="1330" w:type="dxa"/>
          </w:tcPr>
          <w:p w:rsidR="00581AFC" w:rsidRPr="009039B8" w:rsidRDefault="00581AFC" w:rsidP="008D0D12">
            <w:pPr>
              <w:jc w:val="center"/>
            </w:pPr>
            <w:r>
              <w:t>18,2 MJ/kg</w:t>
            </w:r>
          </w:p>
        </w:tc>
        <w:tc>
          <w:tcPr>
            <w:tcW w:w="1222" w:type="dxa"/>
          </w:tcPr>
          <w:p w:rsidR="00581AFC" w:rsidRPr="009039B8" w:rsidRDefault="00581AFC" w:rsidP="008D0D12">
            <w:pPr>
              <w:jc w:val="center"/>
            </w:pPr>
            <w:r>
              <w:t>18,7 MJ/kg</w:t>
            </w:r>
          </w:p>
        </w:tc>
      </w:tr>
      <w:tr w:rsidR="00265FCC" w:rsidRPr="009039B8" w:rsidTr="00265FCC">
        <w:tc>
          <w:tcPr>
            <w:tcW w:w="2801" w:type="dxa"/>
          </w:tcPr>
          <w:p w:rsidR="00265FCC" w:rsidRPr="004E53E8" w:rsidRDefault="00265FCC" w:rsidP="008D0D12">
            <w:r>
              <w:t>Heizwert bei 15 % Feuchtegehalt</w:t>
            </w:r>
          </w:p>
        </w:tc>
        <w:tc>
          <w:tcPr>
            <w:tcW w:w="1330" w:type="dxa"/>
          </w:tcPr>
          <w:p w:rsidR="00265FCC" w:rsidRDefault="00265FCC" w:rsidP="008D0D12">
            <w:pPr>
              <w:jc w:val="center"/>
            </w:pPr>
            <w:r>
              <w:t>15,1 MJ/kg</w:t>
            </w:r>
          </w:p>
        </w:tc>
        <w:tc>
          <w:tcPr>
            <w:tcW w:w="1222" w:type="dxa"/>
          </w:tcPr>
          <w:p w:rsidR="00265FCC" w:rsidRDefault="00265FCC" w:rsidP="00265FCC">
            <w:pPr>
              <w:jc w:val="center"/>
            </w:pPr>
            <w:r>
              <w:t>15,5 MJ/kg</w:t>
            </w:r>
          </w:p>
        </w:tc>
      </w:tr>
    </w:tbl>
    <w:p w:rsidR="00581AFC" w:rsidRPr="0083562A" w:rsidRDefault="00581AFC" w:rsidP="00581AFC">
      <w:pPr>
        <w:pStyle w:val="StandardAbs"/>
        <w:rPr>
          <w:b/>
        </w:rPr>
      </w:pPr>
      <w:r w:rsidRPr="00E77DE3">
        <w:rPr>
          <w:b/>
        </w:rPr>
        <w:t>D</w:t>
      </w:r>
    </w:p>
    <w:p w:rsidR="00581AFC" w:rsidRDefault="00581AFC" w:rsidP="00581AFC">
      <w:pPr>
        <w:pStyle w:val="Aufzhlung"/>
      </w:pPr>
      <w:r>
        <w:t xml:space="preserve">Im Falle einer Energierückgewinnung ist für Strom der durchschnittliche österreichische </w:t>
      </w:r>
      <w:proofErr w:type="spellStart"/>
      <w:r>
        <w:t>Strommix</w:t>
      </w:r>
      <w:proofErr w:type="spellEnd"/>
      <w:r>
        <w:t xml:space="preserve"> für Wärme „thermische Energie aus Erdgas (RER)“ zu verwenden. Für Märkte außerhalb Europas sind die entsprechenden länderspezifischen Strommixe zu verwenden (Allgemeine Ökobilanzregeln).</w:t>
      </w:r>
    </w:p>
    <w:p w:rsidR="00F36433" w:rsidRDefault="00F36433" w:rsidP="002D0A88">
      <w:pPr>
        <w:pStyle w:val="Aufzhlung"/>
        <w:numPr>
          <w:ilvl w:val="0"/>
          <w:numId w:val="0"/>
        </w:numPr>
        <w:ind w:left="700"/>
      </w:pPr>
    </w:p>
    <w:p w:rsidR="00661647" w:rsidRDefault="00661647" w:rsidP="00F36433">
      <w:pPr>
        <w:pStyle w:val="berschrift2"/>
      </w:pPr>
      <w:bookmarkStart w:id="31" w:name="_Toc391985061"/>
      <w:r>
        <w:t>Deklaration der methodische Annahmen</w:t>
      </w:r>
      <w:bookmarkEnd w:id="31"/>
    </w:p>
    <w:p w:rsidR="00581AFC" w:rsidRPr="00422BF7" w:rsidRDefault="00581AFC" w:rsidP="00581AFC">
      <w:pPr>
        <w:pStyle w:val="KapitelUeberschrift2"/>
      </w:pPr>
      <w:r w:rsidRPr="00422BF7">
        <w:t>4.2.1</w:t>
      </w:r>
      <w:r w:rsidRPr="00422BF7">
        <w:tab/>
        <w:t>Typ der EPD, Systemgrenze</w:t>
      </w:r>
    </w:p>
    <w:p w:rsidR="00581AFC" w:rsidRDefault="00581AFC" w:rsidP="00581AFC">
      <w:bookmarkStart w:id="32" w:name="EPDEdit_3_2_Systemgrenze"/>
      <w:r>
        <w:t xml:space="preserve">Typ der EPD: Es ist auszuwählen zwischen: </w:t>
      </w:r>
    </w:p>
    <w:p w:rsidR="00581AFC" w:rsidRDefault="00581AFC" w:rsidP="00581AFC">
      <w:pPr>
        <w:pStyle w:val="Aufzhlung"/>
      </w:pPr>
      <w:r>
        <w:t>Wiege bis zum Werkstor</w:t>
      </w:r>
    </w:p>
    <w:p w:rsidR="00581AFC" w:rsidRDefault="00581AFC" w:rsidP="00581AFC">
      <w:pPr>
        <w:pStyle w:val="Aufzhlung"/>
      </w:pPr>
      <w:r>
        <w:t>Wiege bis zum Werkstor - mit Optionen (siehe 3.3 Beschreibung des Lebenszyklus)</w:t>
      </w:r>
    </w:p>
    <w:p w:rsidR="00F32222" w:rsidRDefault="00581AFC" w:rsidP="00581AFC">
      <w:pPr>
        <w:pStyle w:val="Aufzhlung"/>
      </w:pPr>
      <w:r>
        <w:t>Wiege bis zur Bahre</w:t>
      </w:r>
    </w:p>
    <w:p w:rsidR="00F32222" w:rsidRDefault="00F32222">
      <w:pPr>
        <w:spacing w:after="200"/>
        <w:jc w:val="left"/>
        <w:rPr>
          <w:rFonts w:eastAsia="Times New Roman"/>
          <w:color w:val="000000"/>
          <w:lang w:eastAsia="de-DE"/>
        </w:rPr>
      </w:pPr>
      <w:r>
        <w:br w:type="page"/>
      </w:r>
    </w:p>
    <w:bookmarkEnd w:id="32"/>
    <w:p w:rsidR="00581AFC" w:rsidRPr="00623DB8" w:rsidRDefault="00581AFC" w:rsidP="00581AFC">
      <w:pPr>
        <w:pStyle w:val="KapitelUeberschrift2"/>
      </w:pPr>
      <w:r>
        <w:lastRenderedPageBreak/>
        <w:t>4.2.2</w:t>
      </w:r>
      <w:r>
        <w:tab/>
      </w:r>
      <w:r w:rsidRPr="00623DB8">
        <w:t>Deklarierte Einheit</w:t>
      </w:r>
    </w:p>
    <w:p w:rsidR="00581AFC" w:rsidRPr="00623DB8" w:rsidRDefault="00581AFC" w:rsidP="00581AFC">
      <w:bookmarkStart w:id="33" w:name="EPDEdit_3_1_dekl_Einheit_Intro"/>
      <w:r w:rsidRPr="00FF5074">
        <w:t xml:space="preserve">Die deklarierte Einheit ist 1 </w:t>
      </w:r>
      <w:r>
        <w:t>Kubikmeter Dämmstoff</w:t>
      </w:r>
      <w:bookmarkStart w:id="34" w:name="PCR_3_1_Deklarierte_Einheit"/>
      <w:r>
        <w:t>.</w:t>
      </w:r>
    </w:p>
    <w:bookmarkEnd w:id="33"/>
    <w:bookmarkEnd w:id="34"/>
    <w:p w:rsidR="00581AFC" w:rsidRDefault="00581AFC" w:rsidP="00581AFC">
      <w:pPr>
        <w:pStyle w:val="Beschriftung"/>
        <w:keepNext/>
      </w:pPr>
      <w:r>
        <w:t xml:space="preserve">Tabelle </w:t>
      </w:r>
      <w:fldSimple w:instr=" SEQ Tabelle \* ARABIC ">
        <w:r w:rsidR="00380BCC">
          <w:rPr>
            <w:noProof/>
          </w:rPr>
          <w:t>4</w:t>
        </w:r>
      </w:fldSimple>
      <w:r>
        <w:t xml:space="preserve">: </w:t>
      </w:r>
      <w:r w:rsidRPr="00980C6E">
        <w:t>Deklarierte Einheit</w:t>
      </w:r>
      <w:r>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2026"/>
        <w:gridCol w:w="1856"/>
      </w:tblGrid>
      <w:tr w:rsidR="00581AFC" w:rsidRPr="00FE4A18" w:rsidTr="008D0D12">
        <w:tc>
          <w:tcPr>
            <w:tcW w:w="3181" w:type="dxa"/>
            <w:tcBorders>
              <w:top w:val="single" w:sz="4" w:space="0" w:color="auto"/>
              <w:left w:val="single" w:sz="4" w:space="0" w:color="auto"/>
              <w:bottom w:val="nil"/>
              <w:right w:val="single" w:sz="4" w:space="0" w:color="auto"/>
            </w:tcBorders>
            <w:shd w:val="clear" w:color="auto" w:fill="D9D9D9"/>
            <w:tcMar>
              <w:top w:w="0" w:type="dxa"/>
              <w:left w:w="108" w:type="dxa"/>
              <w:bottom w:w="0" w:type="dxa"/>
              <w:right w:w="108" w:type="dxa"/>
            </w:tcMar>
            <w:vAlign w:val="center"/>
            <w:hideMark/>
          </w:tcPr>
          <w:p w:rsidR="00581AFC" w:rsidRPr="00FE4A18" w:rsidRDefault="00581AFC" w:rsidP="008D0D12">
            <w:pPr>
              <w:keepNext/>
              <w:rPr>
                <w:b/>
                <w:color w:val="000000" w:themeColor="text1"/>
              </w:rPr>
            </w:pPr>
            <w:r w:rsidRPr="00FE4A18">
              <w:rPr>
                <w:b/>
                <w:color w:val="000000" w:themeColor="text1"/>
              </w:rPr>
              <w:t>Bezeichnung</w:t>
            </w:r>
          </w:p>
        </w:tc>
        <w:tc>
          <w:tcPr>
            <w:tcW w:w="1815" w:type="dxa"/>
            <w:tcBorders>
              <w:top w:val="single" w:sz="4" w:space="0" w:color="auto"/>
              <w:left w:val="single" w:sz="4" w:space="0" w:color="auto"/>
              <w:bottom w:val="nil"/>
              <w:right w:val="single" w:sz="4" w:space="0" w:color="auto"/>
            </w:tcBorders>
            <w:shd w:val="clear" w:color="auto" w:fill="D9D9D9"/>
            <w:tcMar>
              <w:top w:w="0" w:type="dxa"/>
              <w:left w:w="108" w:type="dxa"/>
              <w:bottom w:w="0" w:type="dxa"/>
              <w:right w:w="108" w:type="dxa"/>
            </w:tcMar>
            <w:vAlign w:val="center"/>
            <w:hideMark/>
          </w:tcPr>
          <w:p w:rsidR="00581AFC" w:rsidRPr="00FE4A18" w:rsidRDefault="00581AFC" w:rsidP="008D0D12">
            <w:pPr>
              <w:keepNext/>
              <w:jc w:val="center"/>
              <w:rPr>
                <w:b/>
                <w:color w:val="000000" w:themeColor="text1"/>
              </w:rPr>
            </w:pPr>
            <w:r w:rsidRPr="00FE4A18">
              <w:rPr>
                <w:b/>
                <w:color w:val="000000" w:themeColor="text1"/>
              </w:rPr>
              <w:t>Wert</w:t>
            </w:r>
          </w:p>
        </w:tc>
        <w:tc>
          <w:tcPr>
            <w:tcW w:w="1663" w:type="dxa"/>
            <w:tcBorders>
              <w:top w:val="single" w:sz="4" w:space="0" w:color="auto"/>
              <w:left w:val="single" w:sz="4" w:space="0" w:color="auto"/>
              <w:bottom w:val="nil"/>
              <w:right w:val="single" w:sz="4" w:space="0" w:color="auto"/>
            </w:tcBorders>
            <w:shd w:val="clear" w:color="auto" w:fill="D9D9D9"/>
            <w:tcMar>
              <w:top w:w="0" w:type="dxa"/>
              <w:left w:w="108" w:type="dxa"/>
              <w:bottom w:w="0" w:type="dxa"/>
              <w:right w:w="108" w:type="dxa"/>
            </w:tcMar>
            <w:vAlign w:val="center"/>
            <w:hideMark/>
          </w:tcPr>
          <w:p w:rsidR="00581AFC" w:rsidRPr="00FE4A18" w:rsidRDefault="00581AFC" w:rsidP="008D0D12">
            <w:pPr>
              <w:keepNext/>
              <w:jc w:val="center"/>
              <w:rPr>
                <w:b/>
                <w:color w:val="000000" w:themeColor="text1"/>
              </w:rPr>
            </w:pPr>
            <w:r w:rsidRPr="00FE4A18">
              <w:rPr>
                <w:b/>
                <w:color w:val="000000" w:themeColor="text1"/>
              </w:rPr>
              <w:t>Einheit</w:t>
            </w:r>
          </w:p>
        </w:tc>
      </w:tr>
      <w:tr w:rsidR="00581AFC" w:rsidRPr="00501C76" w:rsidTr="008D0D12">
        <w:tc>
          <w:tcPr>
            <w:tcW w:w="3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81AFC" w:rsidRPr="00501C76" w:rsidRDefault="00581AFC" w:rsidP="008D0D12">
            <w:pPr>
              <w:keepNext/>
              <w:rPr>
                <w:b/>
                <w:bCs/>
              </w:rPr>
            </w:pPr>
            <w:r w:rsidRPr="00501C76">
              <w:t>Deklarierte Einheit</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1AFC" w:rsidRPr="00501C76" w:rsidRDefault="00581AFC" w:rsidP="008D0D12">
            <w:pPr>
              <w:keepNext/>
              <w:jc w:val="center"/>
            </w:pPr>
            <w:r>
              <w:t>1</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81AFC" w:rsidRPr="00501C76" w:rsidRDefault="00581AFC" w:rsidP="008D0D12">
            <w:pPr>
              <w:keepNext/>
              <w:jc w:val="center"/>
              <w:rPr>
                <w:spacing w:val="-4"/>
              </w:rPr>
            </w:pPr>
            <w:r>
              <w:t>m</w:t>
            </w:r>
            <w:r w:rsidRPr="00422BF7">
              <w:rPr>
                <w:vertAlign w:val="superscript"/>
              </w:rPr>
              <w:t>3</w:t>
            </w:r>
          </w:p>
        </w:tc>
      </w:tr>
      <w:tr w:rsidR="00581AFC" w:rsidRPr="00501C76" w:rsidTr="008D0D12">
        <w:tc>
          <w:tcPr>
            <w:tcW w:w="3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81AFC" w:rsidRPr="00501C76" w:rsidRDefault="00581AFC" w:rsidP="008D0D12">
            <w:pPr>
              <w:keepNext/>
            </w:pPr>
            <w:r w:rsidRPr="00501C76">
              <w:t>Rohdichte</w:t>
            </w:r>
            <w:r>
              <w:t xml:space="preserve"> für Umrechnung in kg</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1AFC" w:rsidRPr="00501C76" w:rsidRDefault="00581AFC" w:rsidP="008D0D12">
            <w:pPr>
              <w:keepNext/>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81AFC" w:rsidRPr="00501C76" w:rsidRDefault="00581AFC" w:rsidP="008D0D12">
            <w:pPr>
              <w:keepNext/>
              <w:jc w:val="center"/>
              <w:rPr>
                <w:spacing w:val="-4"/>
              </w:rPr>
            </w:pPr>
            <w:r>
              <w:t>kg</w:t>
            </w:r>
            <w:r w:rsidRPr="00501C76">
              <w:t>/m</w:t>
            </w:r>
            <w:r w:rsidRPr="00501C76">
              <w:rPr>
                <w:vertAlign w:val="superscript"/>
              </w:rPr>
              <w:t>3</w:t>
            </w:r>
          </w:p>
        </w:tc>
      </w:tr>
    </w:tbl>
    <w:p w:rsidR="00581AFC" w:rsidRDefault="00581AFC" w:rsidP="00581AFC">
      <w:pPr>
        <w:pStyle w:val="KapitelUeberschrift2"/>
      </w:pPr>
      <w:r>
        <w:t>4.2.3</w:t>
      </w:r>
      <w:r>
        <w:tab/>
        <w:t>Durchschnittsbildung</w:t>
      </w:r>
    </w:p>
    <w:p w:rsidR="00581AFC" w:rsidRPr="00FE4A18" w:rsidRDefault="00581AFC" w:rsidP="00581AFC">
      <w:pPr>
        <w:rPr>
          <w:b/>
          <w:lang w:val="de-CH"/>
        </w:rPr>
      </w:pPr>
      <w:r w:rsidRPr="00152DEC">
        <w:t>Falls Durchschnitte über verschiedene Produkte deklariert werden, ist die Durchschnittsbildung zu erläutern.</w:t>
      </w:r>
      <w:r w:rsidRPr="00FE4A18">
        <w:rPr>
          <w:lang w:val="de-AT"/>
        </w:rPr>
        <w:t xml:space="preserve"> </w:t>
      </w:r>
      <w:r>
        <w:rPr>
          <w:lang w:val="de-AT"/>
        </w:rPr>
        <w:t xml:space="preserve">Vorgabe aus PKR A „Allgemeine Regeln für Ökobilanzen und Anforderungen an den Hintergrundbericht“: </w:t>
      </w:r>
      <w:r w:rsidRPr="00C2511E">
        <w:rPr>
          <w:lang w:val="de-AT"/>
        </w:rPr>
        <w:t>Die Daten w</w:t>
      </w:r>
      <w:r>
        <w:rPr>
          <w:lang w:val="de-AT"/>
        </w:rPr>
        <w:t>u</w:t>
      </w:r>
      <w:r w:rsidRPr="00C2511E">
        <w:rPr>
          <w:lang w:val="de-AT"/>
        </w:rPr>
        <w:t xml:space="preserve">rden für </w:t>
      </w:r>
      <w:r>
        <w:rPr>
          <w:lang w:val="de-AT"/>
        </w:rPr>
        <w:t xml:space="preserve">die </w:t>
      </w:r>
      <w:r w:rsidRPr="00C2511E">
        <w:rPr>
          <w:lang w:val="de-AT"/>
        </w:rPr>
        <w:t xml:space="preserve">Durchschnitts-EPD entsprechend der Produktionsmengen auf Indikatorebene gemittelt. </w:t>
      </w:r>
    </w:p>
    <w:p w:rsidR="00581AFC" w:rsidRPr="00661647" w:rsidRDefault="00581AFC" w:rsidP="00581AFC">
      <w:pPr>
        <w:pStyle w:val="KapitelUeberschrift2"/>
      </w:pPr>
      <w:r>
        <w:t>4.2.4</w:t>
      </w:r>
      <w:r>
        <w:tab/>
      </w:r>
      <w:r w:rsidRPr="00661647">
        <w:t>Abschätzungen und Annahmen</w:t>
      </w:r>
    </w:p>
    <w:p w:rsidR="00581AFC" w:rsidRPr="00E932CD" w:rsidRDefault="00581AFC" w:rsidP="00581AFC">
      <w:r w:rsidRPr="00E932CD">
        <w:t>Hier sind die für die Interpretation der Ökobilanz wichtigen Annahmen und Abschätzungen anzuführen, die nicht in anderen Punkten bereits abgehandelt sind.</w:t>
      </w:r>
    </w:p>
    <w:p w:rsidR="00581AFC" w:rsidRPr="00661647" w:rsidRDefault="00581AFC" w:rsidP="00581AFC">
      <w:pPr>
        <w:pStyle w:val="KapitelUeberschrift2"/>
      </w:pPr>
      <w:bookmarkStart w:id="35" w:name="IBUEPD_3_4_Abschneideregeln"/>
      <w:r>
        <w:t>4.2.5</w:t>
      </w:r>
      <w:r>
        <w:tab/>
      </w:r>
      <w:proofErr w:type="spellStart"/>
      <w:r w:rsidRPr="00661647">
        <w:t>Abschneidekriterien</w:t>
      </w:r>
      <w:proofErr w:type="spellEnd"/>
    </w:p>
    <w:p w:rsidR="00581AFC" w:rsidRPr="000202A6" w:rsidRDefault="00581AFC" w:rsidP="00581AFC">
      <w:r w:rsidRPr="000202A6">
        <w:t xml:space="preserve">Die Anwendung der </w:t>
      </w:r>
      <w:proofErr w:type="spellStart"/>
      <w:r w:rsidRPr="000202A6">
        <w:t>Abschneidekriterien</w:t>
      </w:r>
      <w:proofErr w:type="spellEnd"/>
      <w:r w:rsidRPr="000202A6">
        <w:t xml:space="preserve"> gemäß P</w:t>
      </w:r>
      <w:r>
        <w:t>K</w:t>
      </w:r>
      <w:r w:rsidRPr="000202A6">
        <w:t>R</w:t>
      </w:r>
      <w:r>
        <w:t>-</w:t>
      </w:r>
      <w:r w:rsidRPr="000202A6">
        <w:t>Teil A „</w:t>
      </w:r>
      <w:r>
        <w:t>Allgemeine R</w:t>
      </w:r>
      <w:r w:rsidRPr="000202A6">
        <w:t>egeln für Ökobilanz</w:t>
      </w:r>
      <w:r>
        <w:t>en</w:t>
      </w:r>
      <w:r w:rsidRPr="000202A6">
        <w:t xml:space="preserve"> und Anforderungen an den Hintergrundbericht“ sind hie</w:t>
      </w:r>
      <w:r>
        <w:t>r zu dokumentieren.</w:t>
      </w:r>
    </w:p>
    <w:p w:rsidR="00581AFC" w:rsidRPr="00E90FEC" w:rsidRDefault="00581AFC" w:rsidP="00581AFC">
      <w:pPr>
        <w:pStyle w:val="KapitelUeberschrift2"/>
      </w:pPr>
      <w:bookmarkStart w:id="36" w:name="IBUEPD_3_6_Datenqualitaet"/>
      <w:bookmarkEnd w:id="35"/>
      <w:r w:rsidRPr="00E90FEC">
        <w:t>4.2.6</w:t>
      </w:r>
      <w:r w:rsidRPr="00E90FEC">
        <w:tab/>
        <w:t>Daten</w:t>
      </w:r>
    </w:p>
    <w:p w:rsidR="00581AFC" w:rsidRPr="00E90FEC" w:rsidRDefault="00581AFC" w:rsidP="00581AFC">
      <w:r w:rsidRPr="00E90FEC">
        <w:t>Die Qualität der erhobenen Daten ist zu beschreiben.</w:t>
      </w:r>
    </w:p>
    <w:p w:rsidR="00581AFC" w:rsidRPr="00F808CC" w:rsidRDefault="00581AFC" w:rsidP="00581AFC">
      <w:pPr>
        <w:pStyle w:val="StandardAbs"/>
      </w:pPr>
      <w:r w:rsidRPr="00E90FEC">
        <w:t>Die Quellen der Hintergrunddaten sind anzuführen und ggf. notwendige Ergänzungen zur Qualität der verwendeten Daten zu machen (Abschätzung). Dabei ist das Alter des verwendeten Datenmaterials anzugeben.</w:t>
      </w:r>
    </w:p>
    <w:p w:rsidR="00581AFC" w:rsidRPr="000202A6" w:rsidRDefault="00581AFC" w:rsidP="00581AFC">
      <w:pPr>
        <w:pStyle w:val="KapitelUeberschrift2"/>
      </w:pPr>
      <w:bookmarkStart w:id="37" w:name="IBUEPD_3_7_Betrachtungszeitraum"/>
      <w:bookmarkEnd w:id="36"/>
      <w:r>
        <w:t>4.2.7</w:t>
      </w:r>
      <w:r>
        <w:tab/>
        <w:t>Betrachtungszeitraum</w:t>
      </w:r>
    </w:p>
    <w:p w:rsidR="00581AFC" w:rsidRPr="000202A6" w:rsidRDefault="00581AFC" w:rsidP="00581AFC">
      <w:r w:rsidRPr="000202A6">
        <w:t>Der Betrachtungszeitraum und die daraus resultierenden Durchschnitte müssen dokumentiert werden.</w:t>
      </w:r>
    </w:p>
    <w:bookmarkEnd w:id="37"/>
    <w:p w:rsidR="00581AFC" w:rsidRPr="00D70748" w:rsidRDefault="00581AFC" w:rsidP="00581AFC">
      <w:pPr>
        <w:pStyle w:val="KapitelUeberschrift2"/>
      </w:pPr>
      <w:r>
        <w:t>4.2.8</w:t>
      </w:r>
      <w:r>
        <w:tab/>
      </w:r>
      <w:r w:rsidRPr="00D70748">
        <w:t>Allokation</w:t>
      </w:r>
    </w:p>
    <w:p w:rsidR="00581AFC" w:rsidRPr="000202A6" w:rsidRDefault="00581AFC" w:rsidP="00581AFC">
      <w:r w:rsidRPr="000202A6">
        <w:t>Die für die Berechnung relevanten Allokationen (Verteilungen von Aufwendungen auf unterschiedliche Produkte) sind zu nennen, mindestens:</w:t>
      </w:r>
    </w:p>
    <w:p w:rsidR="00581AFC" w:rsidRPr="000202A6" w:rsidRDefault="00581AFC" w:rsidP="00581AFC">
      <w:pPr>
        <w:pStyle w:val="Aufzhlung"/>
      </w:pPr>
      <w:r w:rsidRPr="000202A6">
        <w:t xml:space="preserve">Allokation beim Einsatz von </w:t>
      </w:r>
      <w:proofErr w:type="spellStart"/>
      <w:r w:rsidRPr="000202A6">
        <w:t>Rezyklat</w:t>
      </w:r>
      <w:proofErr w:type="spellEnd"/>
      <w:r w:rsidRPr="000202A6">
        <w:t xml:space="preserve"> bzw. Sekundärrohstoffen</w:t>
      </w:r>
    </w:p>
    <w:p w:rsidR="00581AFC" w:rsidRPr="000202A6" w:rsidRDefault="00581AFC" w:rsidP="00581AFC">
      <w:pPr>
        <w:pStyle w:val="Aufzhlung"/>
      </w:pPr>
      <w:r w:rsidRPr="000202A6">
        <w:t>Allokation von eingesetzten Energien, Hilfs- und Betriebsstoffe zu den einzelnen Produkten eines Werkes</w:t>
      </w:r>
    </w:p>
    <w:p w:rsidR="00581AFC" w:rsidRPr="000202A6" w:rsidRDefault="00581AFC" w:rsidP="00581AFC">
      <w:pPr>
        <w:pStyle w:val="Aufzhlung"/>
      </w:pPr>
      <w:r w:rsidRPr="000202A6">
        <w:t>Gutschriften aus dem Recycling und/oder der thermischen Verwertung von Verpackungsmaterialien und Produktionsabfällen</w:t>
      </w:r>
    </w:p>
    <w:p w:rsidR="00581AFC" w:rsidRPr="000202A6" w:rsidRDefault="00581AFC" w:rsidP="00581AFC">
      <w:pPr>
        <w:pStyle w:val="Aufzhlung"/>
      </w:pPr>
      <w:r w:rsidRPr="000202A6">
        <w:t>Gutschriften aus dem Recycling und/oder der energetischen Verwertung des rückgebauten Produktes</w:t>
      </w:r>
    </w:p>
    <w:p w:rsidR="00581AFC" w:rsidRDefault="00581AFC" w:rsidP="00581AFC">
      <w:r w:rsidRPr="000202A6">
        <w:t>Dabei ist auf die Module Bezug zu nehmen, in denen die Allokationen erfolgen.</w:t>
      </w:r>
    </w:p>
    <w:p w:rsidR="00581AFC" w:rsidRDefault="00581AFC" w:rsidP="00581AFC"/>
    <w:p w:rsidR="00B0164C" w:rsidRDefault="00AC6D7D" w:rsidP="00F36433">
      <w:pPr>
        <w:pStyle w:val="berschrift2"/>
      </w:pPr>
      <w:bookmarkStart w:id="38" w:name="_Toc391985062"/>
      <w:r>
        <w:t>Angaben zum Lebenszyklus</w:t>
      </w:r>
      <w:r w:rsidRPr="00183BBA">
        <w:t xml:space="preserve"> </w:t>
      </w:r>
      <w:r>
        <w:t>für die Ökobilanz</w:t>
      </w:r>
      <w:bookmarkEnd w:id="38"/>
    </w:p>
    <w:p w:rsidR="00F36433" w:rsidRPr="00F36433" w:rsidRDefault="00F36433" w:rsidP="00F36433"/>
    <w:p w:rsidR="00B0164C" w:rsidRPr="005F0079" w:rsidRDefault="00F72A9A" w:rsidP="00FB5D78">
      <w:r>
        <w:t>Die betrachteten Lebensphasen sind in folgende Grafik einzutragen:</w:t>
      </w:r>
    </w:p>
    <w:p w:rsidR="00E170F3" w:rsidRDefault="00E170F3">
      <w:pPr>
        <w:spacing w:after="200"/>
        <w:jc w:val="left"/>
        <w:rPr>
          <w:rFonts w:eastAsiaTheme="minorHAnsi"/>
          <w:b/>
          <w:szCs w:val="18"/>
          <w:lang w:val="de-AT"/>
        </w:rPr>
      </w:pPr>
      <w:r>
        <w:rPr>
          <w:b/>
        </w:rPr>
        <w:br w:type="page"/>
      </w:r>
    </w:p>
    <w:p w:rsidR="00B0164C" w:rsidRPr="00F32222" w:rsidRDefault="00E170F3" w:rsidP="00E170F3">
      <w:pPr>
        <w:pStyle w:val="Beschriftung"/>
        <w:keepNext/>
      </w:pPr>
      <w:r w:rsidRPr="00F32222">
        <w:lastRenderedPageBreak/>
        <w:t xml:space="preserve">Tabelle </w:t>
      </w:r>
      <w:r w:rsidR="008F14A7" w:rsidRPr="00F32222">
        <w:fldChar w:fldCharType="begin"/>
      </w:r>
      <w:r w:rsidRPr="00F32222">
        <w:instrText xml:space="preserve"> SEQ Tabelle \* ARABIC </w:instrText>
      </w:r>
      <w:r w:rsidR="008F14A7" w:rsidRPr="00F32222">
        <w:fldChar w:fldCharType="separate"/>
      </w:r>
      <w:r w:rsidR="00380BCC">
        <w:rPr>
          <w:noProof/>
        </w:rPr>
        <w:t>5</w:t>
      </w:r>
      <w:r w:rsidR="008F14A7" w:rsidRPr="00F32222">
        <w:fldChar w:fldCharType="end"/>
      </w:r>
      <w:r w:rsidRPr="00F32222">
        <w:t xml:space="preserve">: </w:t>
      </w:r>
      <w:r w:rsidR="00B0164C" w:rsidRPr="00F32222">
        <w:t>Deklarierte Lebenszyklusphasen</w:t>
      </w:r>
    </w:p>
    <w:tbl>
      <w:tblPr>
        <w:tblStyle w:val="Tabellenraster"/>
        <w:tblW w:w="9464" w:type="dxa"/>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C6D7D" w:rsidRPr="00791D79" w:rsidTr="00791D79">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C6D7D" w:rsidRPr="003B609C" w:rsidRDefault="00AC6D7D" w:rsidP="00791D79">
            <w:pPr>
              <w:jc w:val="left"/>
              <w:rPr>
                <w:b/>
                <w:color w:val="000000" w:themeColor="text1"/>
                <w:lang w:eastAsia="de-DE"/>
              </w:rPr>
            </w:pPr>
            <w:r w:rsidRPr="003B609C">
              <w:rPr>
                <w:b/>
                <w:color w:val="000000" w:themeColor="text1"/>
              </w:rPr>
              <w:t>HERSTEL-</w:t>
            </w:r>
          </w:p>
          <w:p w:rsidR="00AC6D7D" w:rsidRPr="003B609C" w:rsidRDefault="00AC6D7D" w:rsidP="00791D79">
            <w:pPr>
              <w:jc w:val="left"/>
              <w:rPr>
                <w:b/>
                <w:color w:val="000000" w:themeColor="text1"/>
              </w:rPr>
            </w:pPr>
            <w:r w:rsidRPr="003B609C">
              <w:rPr>
                <w:b/>
                <w:color w:val="000000" w:themeColor="text1"/>
              </w:rPr>
              <w:t>LUNGS-</w:t>
            </w:r>
          </w:p>
          <w:p w:rsidR="00AC6D7D" w:rsidRPr="003B609C" w:rsidRDefault="00AC6D7D" w:rsidP="00791D79">
            <w:pPr>
              <w:jc w:val="left"/>
              <w:rPr>
                <w:b/>
                <w:color w:val="000000" w:themeColor="text1"/>
                <w:szCs w:val="18"/>
                <w:lang w:eastAsia="de-DE"/>
              </w:rPr>
            </w:pPr>
            <w:r w:rsidRPr="003B609C">
              <w:rPr>
                <w:b/>
                <w:color w:val="000000" w:themeColor="text1"/>
              </w:rPr>
              <w:t>PHASE</w:t>
            </w:r>
          </w:p>
        </w:tc>
        <w:tc>
          <w:tcPr>
            <w:tcW w:w="102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C6D7D" w:rsidRPr="003B609C" w:rsidRDefault="00AC6D7D" w:rsidP="00791D79">
            <w:pPr>
              <w:jc w:val="left"/>
              <w:rPr>
                <w:b/>
                <w:color w:val="000000" w:themeColor="text1"/>
                <w:lang w:eastAsia="de-DE"/>
              </w:rPr>
            </w:pPr>
            <w:r w:rsidRPr="003B609C">
              <w:rPr>
                <w:b/>
                <w:color w:val="000000" w:themeColor="text1"/>
              </w:rPr>
              <w:t>ERRICH-</w:t>
            </w:r>
          </w:p>
          <w:p w:rsidR="00AC6D7D" w:rsidRPr="003B609C" w:rsidRDefault="00AC6D7D" w:rsidP="00791D79">
            <w:pPr>
              <w:jc w:val="left"/>
              <w:rPr>
                <w:b/>
                <w:color w:val="000000" w:themeColor="text1"/>
              </w:rPr>
            </w:pPr>
            <w:r w:rsidRPr="003B609C">
              <w:rPr>
                <w:b/>
                <w:color w:val="000000" w:themeColor="text1"/>
              </w:rPr>
              <w:t>TUNGS-</w:t>
            </w:r>
          </w:p>
          <w:p w:rsidR="00AC6D7D" w:rsidRPr="003B609C" w:rsidRDefault="00AC6D7D" w:rsidP="00791D79">
            <w:pPr>
              <w:jc w:val="left"/>
              <w:rPr>
                <w:b/>
                <w:color w:val="000000" w:themeColor="text1"/>
                <w:lang w:eastAsia="de-DE"/>
              </w:rPr>
            </w:pPr>
            <w:r w:rsidRPr="003B609C">
              <w:rPr>
                <w:b/>
                <w:color w:val="000000" w:themeColor="text1"/>
              </w:rPr>
              <w:t>PHASE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C6D7D" w:rsidRPr="003B609C" w:rsidRDefault="00AC6D7D" w:rsidP="00791D79">
            <w:pPr>
              <w:jc w:val="left"/>
              <w:rPr>
                <w:b/>
                <w:color w:val="000000" w:themeColor="text1"/>
                <w:szCs w:val="18"/>
                <w:lang w:eastAsia="de-DE"/>
              </w:rPr>
            </w:pPr>
            <w:r w:rsidRPr="003B609C">
              <w:rPr>
                <w:b/>
                <w:color w:val="000000" w:themeColor="text1"/>
              </w:rPr>
              <w:t>NUTZUNGSPHASE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C6D7D" w:rsidRPr="003B609C" w:rsidRDefault="00AC6D7D" w:rsidP="00791D79">
            <w:pPr>
              <w:jc w:val="left"/>
              <w:rPr>
                <w:b/>
                <w:color w:val="000000" w:themeColor="text1"/>
                <w:lang w:eastAsia="de-DE"/>
              </w:rPr>
            </w:pPr>
            <w:r w:rsidRPr="003B609C">
              <w:rPr>
                <w:b/>
                <w:color w:val="000000" w:themeColor="text1"/>
              </w:rPr>
              <w:t>ENTSORGUNGS-</w:t>
            </w:r>
          </w:p>
          <w:p w:rsidR="00AC6D7D" w:rsidRPr="003B609C" w:rsidRDefault="00AC6D7D" w:rsidP="00791D79">
            <w:pPr>
              <w:jc w:val="left"/>
              <w:rPr>
                <w:b/>
                <w:color w:val="000000" w:themeColor="text1"/>
                <w:szCs w:val="18"/>
                <w:lang w:eastAsia="de-DE"/>
              </w:rPr>
            </w:pPr>
            <w:r w:rsidRPr="003B609C">
              <w:rPr>
                <w:b/>
                <w:color w:val="000000" w:themeColor="text1"/>
              </w:rPr>
              <w:t>PHASE</w:t>
            </w:r>
          </w:p>
        </w:tc>
        <w:tc>
          <w:tcPr>
            <w:tcW w:w="130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43ADA" w:rsidRPr="003B609C" w:rsidRDefault="00AC6D7D" w:rsidP="00791D79">
            <w:pPr>
              <w:jc w:val="left"/>
              <w:rPr>
                <w:b/>
                <w:color w:val="000000" w:themeColor="text1"/>
              </w:rPr>
            </w:pPr>
            <w:r w:rsidRPr="003B609C">
              <w:rPr>
                <w:b/>
                <w:color w:val="000000" w:themeColor="text1"/>
              </w:rPr>
              <w:t xml:space="preserve">GUT-SCHRIFTEN UND </w:t>
            </w:r>
          </w:p>
          <w:p w:rsidR="00AC6D7D" w:rsidRPr="003B609C" w:rsidRDefault="00AC6D7D" w:rsidP="00791D79">
            <w:pPr>
              <w:jc w:val="left"/>
              <w:rPr>
                <w:b/>
                <w:color w:val="000000" w:themeColor="text1"/>
                <w:szCs w:val="18"/>
                <w:lang w:eastAsia="de-DE"/>
              </w:rPr>
            </w:pPr>
            <w:r w:rsidRPr="003B609C">
              <w:rPr>
                <w:b/>
                <w:color w:val="000000" w:themeColor="text1"/>
              </w:rPr>
              <w:t>LASTEN</w:t>
            </w:r>
          </w:p>
        </w:tc>
      </w:tr>
      <w:tr w:rsidR="00AC6D7D" w:rsidTr="00693060">
        <w:tc>
          <w:tcPr>
            <w:tcW w:w="50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A1</w:t>
            </w:r>
          </w:p>
        </w:tc>
        <w:tc>
          <w:tcPr>
            <w:tcW w:w="50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A2</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A3</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A4</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A5</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B1</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B2</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B3</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B4</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B5</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B6</w:t>
            </w:r>
          </w:p>
        </w:tc>
        <w:tc>
          <w:tcPr>
            <w:tcW w:w="512"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B7</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C1</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C2</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C3</w:t>
            </w:r>
          </w:p>
        </w:tc>
        <w:tc>
          <w:tcPr>
            <w:tcW w:w="511"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C4</w:t>
            </w:r>
          </w:p>
        </w:tc>
        <w:tc>
          <w:tcPr>
            <w:tcW w:w="13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C6D7D" w:rsidRDefault="00AC6D7D" w:rsidP="00FB5D78">
            <w:pPr>
              <w:rPr>
                <w:lang w:eastAsia="de-DE"/>
              </w:rPr>
            </w:pPr>
            <w:r>
              <w:t>D</w:t>
            </w:r>
          </w:p>
        </w:tc>
      </w:tr>
      <w:tr w:rsidR="00AC6D7D" w:rsidTr="00693060">
        <w:trPr>
          <w:cantSplit/>
          <w:trHeight w:val="2551"/>
        </w:trPr>
        <w:tc>
          <w:tcPr>
            <w:tcW w:w="508"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Rohstoffbereitstellung</w:t>
            </w:r>
          </w:p>
        </w:tc>
        <w:tc>
          <w:tcPr>
            <w:tcW w:w="508"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Transport</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Herstellung</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Transport</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Bau / Einbau</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Nutzung</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Instandhaltung</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Reparatur</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Ersatz</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textDirection w:val="btLr"/>
            <w:hideMark/>
          </w:tcPr>
          <w:p w:rsidR="00AC6D7D" w:rsidRDefault="002D0A88" w:rsidP="00FB5D78">
            <w:pPr>
              <w:rPr>
                <w:lang w:eastAsia="de-DE"/>
              </w:rPr>
            </w:pPr>
            <w:r>
              <w:t xml:space="preserve"> </w:t>
            </w:r>
            <w:r w:rsidR="00AC6D7D">
              <w:t>Umbau, Erneuerung</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betrieblicher Energieeinsatz</w:t>
            </w:r>
          </w:p>
        </w:tc>
        <w:tc>
          <w:tcPr>
            <w:tcW w:w="512"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betrieblicher Wassereinsatz</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Abbruch</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Transport</w:t>
            </w:r>
          </w:p>
        </w:tc>
        <w:tc>
          <w:tcPr>
            <w:tcW w:w="510"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Abfallbewirtschaftung</w:t>
            </w:r>
          </w:p>
        </w:tc>
        <w:tc>
          <w:tcPr>
            <w:tcW w:w="511"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Deponierung</w:t>
            </w:r>
          </w:p>
        </w:tc>
        <w:tc>
          <w:tcPr>
            <w:tcW w:w="1305" w:type="dxa"/>
            <w:tcBorders>
              <w:top w:val="single" w:sz="4" w:space="0" w:color="auto"/>
              <w:left w:val="single" w:sz="4" w:space="0" w:color="auto"/>
              <w:bottom w:val="single" w:sz="4" w:space="0" w:color="auto"/>
              <w:right w:val="single" w:sz="4" w:space="0" w:color="auto"/>
            </w:tcBorders>
            <w:tcMar>
              <w:top w:w="57" w:type="dxa"/>
              <w:bottom w:w="57" w:type="dxa"/>
            </w:tcMar>
            <w:textDirection w:val="btLr"/>
            <w:vAlign w:val="center"/>
            <w:hideMark/>
          </w:tcPr>
          <w:p w:rsidR="00AC6D7D" w:rsidRDefault="002D0A88" w:rsidP="00FB5D78">
            <w:pPr>
              <w:rPr>
                <w:lang w:eastAsia="de-DE"/>
              </w:rPr>
            </w:pPr>
            <w:r>
              <w:t xml:space="preserve"> </w:t>
            </w:r>
            <w:r w:rsidR="00AC6D7D">
              <w:t xml:space="preserve">Wiederverwendungs-, </w:t>
            </w:r>
            <w:r>
              <w:t xml:space="preserve"> </w:t>
            </w:r>
            <w:r w:rsidR="00AC6D7D">
              <w:t>Rückgewinnungs-,</w:t>
            </w:r>
          </w:p>
          <w:p w:rsidR="00AC6D7D" w:rsidRDefault="002D0A88" w:rsidP="00190F81">
            <w:pPr>
              <w:rPr>
                <w:lang w:eastAsia="de-DE"/>
              </w:rPr>
            </w:pPr>
            <w:r>
              <w:t xml:space="preserve"> </w:t>
            </w:r>
            <w:r w:rsidR="00AC6D7D">
              <w:t>Recyclingpoten</w:t>
            </w:r>
            <w:r w:rsidR="00190F81">
              <w:t>z</w:t>
            </w:r>
            <w:r w:rsidR="00AC6D7D">
              <w:t>ial</w:t>
            </w:r>
          </w:p>
        </w:tc>
      </w:tr>
      <w:tr w:rsidR="00AC6D7D" w:rsidRPr="00AC6D7D" w:rsidTr="002D7095">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08"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0"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0"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0"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0"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0"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0"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0"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0"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0"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2"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0"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0"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0"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511"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c>
          <w:tcPr>
            <w:tcW w:w="1305" w:type="dxa"/>
            <w:tcBorders>
              <w:top w:val="single" w:sz="4" w:space="0" w:color="auto"/>
              <w:left w:val="single" w:sz="4" w:space="0" w:color="auto"/>
              <w:bottom w:val="single" w:sz="4" w:space="0" w:color="auto"/>
              <w:right w:val="single" w:sz="4" w:space="0" w:color="auto"/>
            </w:tcBorders>
            <w:vAlign w:val="center"/>
          </w:tcPr>
          <w:p w:rsidR="00AC6D7D" w:rsidRPr="00AC6D7D" w:rsidRDefault="00AC6D7D" w:rsidP="00FB5D78"/>
        </w:tc>
      </w:tr>
    </w:tbl>
    <w:p w:rsidR="00AC6D7D" w:rsidRDefault="00AC6D7D" w:rsidP="00AC7903">
      <w:pPr>
        <w:pStyle w:val="StandardAbs"/>
      </w:pPr>
      <w:r w:rsidRPr="00A007D7">
        <w:t xml:space="preserve">X = </w:t>
      </w:r>
      <w:r>
        <w:t>in Ökobilanz enthalten; MND = Modul nicht deklariert</w:t>
      </w:r>
    </w:p>
    <w:p w:rsidR="00D95AAD" w:rsidRPr="00321961" w:rsidRDefault="00D95AAD" w:rsidP="00D95AAD">
      <w:pPr>
        <w:pStyle w:val="StandardAbs"/>
      </w:pPr>
      <w:r w:rsidRPr="00321961">
        <w:t>Folgende Angaben sind für deklarierte Module zwingend, für nicht deklarierte Module optional. Module, für die keine Informationen deklariert werden, können gelöscht werden; bei Bedarf können zus</w:t>
      </w:r>
      <w:r>
        <w:t xml:space="preserve">ätzlich </w:t>
      </w:r>
      <w:r w:rsidRPr="00321961">
        <w:t xml:space="preserve">weitere Angaben </w:t>
      </w:r>
      <w:r>
        <w:t xml:space="preserve">aufgeführt werden. </w:t>
      </w:r>
    </w:p>
    <w:p w:rsidR="00D95AAD" w:rsidRPr="00321961" w:rsidRDefault="00D95AAD" w:rsidP="00D95AAD">
      <w:r>
        <w:t>Beispielhafte Einleitung: „</w:t>
      </w:r>
      <w:r w:rsidRPr="00321961">
        <w:t>Die folgenden technischen Informationen sind Grundlage für die deklarierten Module oder können für die Entwicklung von spezifischen Szenarien im Kontext einer Gebäudebewertung genutzt werden, wenn Module nicht deklariert werden (MND).</w:t>
      </w:r>
      <w:r>
        <w:t xml:space="preserve">“ </w:t>
      </w:r>
    </w:p>
    <w:p w:rsidR="001E4C1E" w:rsidRPr="00E90FEC" w:rsidRDefault="001E4C1E" w:rsidP="001E4C1E">
      <w:pPr>
        <w:pStyle w:val="KapitelUeberschrift2"/>
      </w:pPr>
      <w:r w:rsidRPr="00E90FEC">
        <w:t>Begründung für das Weglassen nicht deklarierter Module</w:t>
      </w:r>
    </w:p>
    <w:p w:rsidR="0065695B" w:rsidRDefault="0065695B" w:rsidP="0065695B">
      <w:r>
        <w:t>Für die Ökobilanz wurden folgende Werte für die Referenz-Nutzungsdauer (RSL) ange</w:t>
      </w:r>
      <w:r w:rsidRPr="00684686">
        <w:t>nommen</w:t>
      </w:r>
      <w:r>
        <w:t>:</w:t>
      </w:r>
    </w:p>
    <w:p w:rsidR="00F32222" w:rsidRDefault="00153C13" w:rsidP="00AE27DC">
      <w:pPr>
        <w:pStyle w:val="berschrift3"/>
      </w:pPr>
      <w:r>
        <w:t>4.3.1</w:t>
      </w:r>
      <w:r>
        <w:tab/>
      </w:r>
      <w:r w:rsidR="00F32222" w:rsidRPr="00A66E71">
        <w:t>Referenz</w:t>
      </w:r>
      <w:r w:rsidR="00F32222">
        <w:t>-</w:t>
      </w:r>
      <w:r w:rsidR="00F32222" w:rsidRPr="00A66E71">
        <w:t>Nutzungsdauer (RSL)</w:t>
      </w:r>
    </w:p>
    <w:p w:rsidR="00547C7F" w:rsidRDefault="00547C7F" w:rsidP="00F32222"/>
    <w:p w:rsidR="00AE27DC" w:rsidRDefault="00AE27DC" w:rsidP="00AE27DC">
      <w:r>
        <w:t>Die Angabe der Referenz-Nutzungsdauer (RSL) ist zwingend für EPDs, welche mit der Ökobilanz die gesamte Nutzungsphase (Module B1-B7) abdecken oder ein Nutzungs</w:t>
      </w:r>
      <w:r>
        <w:softHyphen/>
        <w:t>szenario enthalten, das sich auf die Lebensdauer des Produktes bezieht („von der Wiege bis zur Bahre“).</w:t>
      </w:r>
    </w:p>
    <w:p w:rsidR="00AE27DC" w:rsidRDefault="00AE27DC" w:rsidP="00AE27DC">
      <w:r>
        <w:t xml:space="preserve"> </w:t>
      </w:r>
    </w:p>
    <w:p w:rsidR="00AE27DC" w:rsidRDefault="00AE27DC" w:rsidP="00AE27DC">
      <w:r>
        <w:t xml:space="preserve">Die RSL </w:t>
      </w:r>
      <w:r w:rsidRPr="00400F5D">
        <w:t xml:space="preserve">muss </w:t>
      </w:r>
      <w:r>
        <w:t>sich auf die deklarierte technische und funktionale Qualität des Produkts im Gebäude beziehen. Sie muss in Überein</w:t>
      </w:r>
      <w:r>
        <w:softHyphen/>
        <w:t xml:space="preserve">stimmung mit jeglichen spezifischen Regeln, die in den Europäischen Produktnormen bestehen, etabliert werden und muss die ISO 15686-1, -2, -7 und -8 berücksichtigen. Wenn Angaben zur Ableitung von RSL aus Europäischen Produktnormen vorliegen, dann haben solche Angaben Priorität. </w:t>
      </w:r>
    </w:p>
    <w:p w:rsidR="00AE27DC" w:rsidRDefault="00AE27DC" w:rsidP="00AE27DC"/>
    <w:p w:rsidR="00AE27DC" w:rsidRDefault="00AE27DC" w:rsidP="00AE27DC">
      <w:r>
        <w:t>Gemäß EN 15804 sind die RSL-Informationen von den Herstellern bereitzustellen. Wenn die Hersteller keine den europäischen Normen entsprechenden Daten zur Verfügung stellen können, sind für die Erstellung von österreichischen EPDs zur Berechnung der Ökobilanz die Werte aus dem Nutzungsdauerkatalog der Bau-</w:t>
      </w:r>
      <w:r w:rsidRPr="0070020E">
        <w:t>EPD GmbH</w:t>
      </w:r>
      <w:r w:rsidRPr="0070020E">
        <w:rPr>
          <w:vertAlign w:val="superscript"/>
        </w:rPr>
        <w:t>1</w:t>
      </w:r>
      <w:r w:rsidRPr="0070020E">
        <w:t xml:space="preserve"> zu übernehmen</w:t>
      </w:r>
      <w:r>
        <w:rPr>
          <w:rStyle w:val="Funotenzeichen"/>
        </w:rPr>
        <w:footnoteReference w:id="1"/>
      </w:r>
      <w:r>
        <w:t>. Diese Nutzungsdauern gehen vom österreichischen Referenzklima, einem</w:t>
      </w:r>
      <w:r w:rsidRPr="002B1CB0">
        <w:t xml:space="preserve"> sach- und fachgerechte</w:t>
      </w:r>
      <w:r>
        <w:t>n Einbau sowie einer</w:t>
      </w:r>
      <w:r w:rsidRPr="002B1CB0">
        <w:t xml:space="preserve"> störungsfreie</w:t>
      </w:r>
      <w:r>
        <w:t>n</w:t>
      </w:r>
      <w:r w:rsidRPr="002B1CB0">
        <w:t xml:space="preserve"> Nutzung </w:t>
      </w:r>
      <w:r w:rsidRPr="00AF2F63">
        <w:rPr>
          <w:lang w:val="de-AT"/>
        </w:rPr>
        <w:t xml:space="preserve">über die Nutzungsdauer </w:t>
      </w:r>
      <w:r>
        <w:t>aus</w:t>
      </w:r>
      <w:r w:rsidRPr="002B1CB0">
        <w:t>.</w:t>
      </w:r>
    </w:p>
    <w:p w:rsidR="001C619E" w:rsidRDefault="001C619E" w:rsidP="00AE27DC">
      <w:pPr>
        <w:pStyle w:val="Beschriftung"/>
      </w:pPr>
    </w:p>
    <w:p w:rsidR="00AE27DC" w:rsidRDefault="00AE27DC" w:rsidP="00AE27DC">
      <w:pPr>
        <w:pStyle w:val="Beschriftung"/>
      </w:pPr>
      <w:r>
        <w:t xml:space="preserve">Tabelle </w:t>
      </w:r>
      <w:fldSimple w:instr=" SEQ Tabelle \* ARABIC ">
        <w:r w:rsidR="00380BCC">
          <w:rPr>
            <w:noProof/>
          </w:rPr>
          <w:t>6</w:t>
        </w:r>
      </w:fldSimple>
      <w:r>
        <w:t>: Nutzungsdauer für die Zellulosedämmstoffe in der Ökobilanz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1590"/>
        <w:gridCol w:w="1668"/>
      </w:tblGrid>
      <w:tr w:rsidR="00AE27DC" w:rsidRPr="00374C11" w:rsidTr="00380BCC">
        <w:tc>
          <w:tcPr>
            <w:tcW w:w="6674"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rsidR="00AE27DC" w:rsidRPr="003B609C" w:rsidRDefault="00AE27DC" w:rsidP="00380BCC">
            <w:pPr>
              <w:pBdr>
                <w:top w:val="nil"/>
                <w:left w:val="nil"/>
                <w:bottom w:val="nil"/>
                <w:right w:val="nil"/>
                <w:between w:val="nil"/>
                <w:bar w:val="nil"/>
              </w:pBdr>
              <w:ind w:left="147"/>
              <w:rPr>
                <w:rFonts w:eastAsia="Times New Roman" w:cs="Times New Roman"/>
                <w:color w:val="000000" w:themeColor="text1"/>
              </w:rPr>
            </w:pPr>
            <w:r w:rsidRPr="003B609C">
              <w:rPr>
                <w:rFonts w:eastAsia="Times New Roman"/>
                <w:b/>
                <w:bCs/>
                <w:color w:val="000000" w:themeColor="text1"/>
              </w:rPr>
              <w:t>Bezeichnung</w:t>
            </w:r>
          </w:p>
        </w:tc>
        <w:tc>
          <w:tcPr>
            <w:tcW w:w="159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rsidR="00AE27DC" w:rsidRPr="003B609C" w:rsidRDefault="00AE27DC" w:rsidP="00380BCC">
            <w:pPr>
              <w:pBdr>
                <w:top w:val="nil"/>
                <w:left w:val="nil"/>
                <w:bottom w:val="nil"/>
                <w:right w:val="nil"/>
                <w:between w:val="nil"/>
                <w:bar w:val="nil"/>
              </w:pBdr>
              <w:ind w:left="147"/>
              <w:jc w:val="center"/>
              <w:rPr>
                <w:rFonts w:eastAsia="Times New Roman"/>
                <w:b/>
                <w:bCs/>
                <w:color w:val="000000" w:themeColor="text1"/>
              </w:rPr>
            </w:pPr>
            <w:r w:rsidRPr="003B609C">
              <w:rPr>
                <w:rFonts w:eastAsia="Times New Roman"/>
                <w:b/>
                <w:bCs/>
                <w:color w:val="000000" w:themeColor="text1"/>
              </w:rPr>
              <w:t>Wert</w:t>
            </w:r>
          </w:p>
        </w:tc>
        <w:tc>
          <w:tcPr>
            <w:tcW w:w="16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rsidR="00AE27DC" w:rsidRPr="003B609C" w:rsidRDefault="00AE27DC" w:rsidP="00380BCC">
            <w:pPr>
              <w:pBdr>
                <w:top w:val="nil"/>
                <w:left w:val="nil"/>
                <w:bottom w:val="nil"/>
                <w:right w:val="nil"/>
                <w:between w:val="nil"/>
                <w:bar w:val="nil"/>
              </w:pBdr>
              <w:ind w:left="147"/>
              <w:jc w:val="center"/>
              <w:rPr>
                <w:rFonts w:eastAsia="Times New Roman"/>
                <w:b/>
                <w:bCs/>
                <w:color w:val="000000" w:themeColor="text1"/>
              </w:rPr>
            </w:pPr>
            <w:r w:rsidRPr="003B609C">
              <w:rPr>
                <w:rFonts w:eastAsia="Times New Roman"/>
                <w:b/>
                <w:bCs/>
                <w:color w:val="000000" w:themeColor="text1"/>
              </w:rPr>
              <w:t>Einheit</w:t>
            </w:r>
          </w:p>
        </w:tc>
      </w:tr>
      <w:tr w:rsidR="00AE27DC" w:rsidRPr="00374C11" w:rsidTr="00380BCC">
        <w:trPr>
          <w:trHeight w:val="252"/>
        </w:trPr>
        <w:tc>
          <w:tcPr>
            <w:tcW w:w="66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E27DC" w:rsidRPr="009C10EF" w:rsidRDefault="00AE27DC" w:rsidP="00380BCC">
            <w:pPr>
              <w:pBdr>
                <w:top w:val="nil"/>
                <w:left w:val="nil"/>
                <w:bottom w:val="nil"/>
                <w:right w:val="nil"/>
                <w:between w:val="nil"/>
                <w:bar w:val="nil"/>
              </w:pBdr>
              <w:ind w:left="147"/>
              <w:rPr>
                <w:rFonts w:eastAsia="Times New Roman"/>
                <w:spacing w:val="-4"/>
              </w:rPr>
            </w:pPr>
          </w:p>
        </w:tc>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E27DC" w:rsidRPr="00374C11" w:rsidRDefault="00AE27DC" w:rsidP="00380BCC">
            <w:pPr>
              <w:pBdr>
                <w:top w:val="nil"/>
                <w:left w:val="nil"/>
                <w:bottom w:val="nil"/>
                <w:right w:val="nil"/>
                <w:between w:val="nil"/>
                <w:bar w:val="nil"/>
              </w:pBdr>
              <w:ind w:left="147"/>
              <w:jc w:val="center"/>
              <w:rPr>
                <w:rFonts w:eastAsia="Times New Roman"/>
                <w:spacing w:val="-4"/>
              </w:rPr>
            </w:pPr>
          </w:p>
        </w:tc>
        <w:tc>
          <w:tcPr>
            <w:tcW w:w="1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E27DC" w:rsidRPr="009C10EF" w:rsidRDefault="00AE27DC" w:rsidP="00380BCC">
            <w:pPr>
              <w:pBdr>
                <w:top w:val="nil"/>
                <w:left w:val="nil"/>
                <w:bottom w:val="nil"/>
                <w:right w:val="nil"/>
                <w:between w:val="nil"/>
                <w:bar w:val="nil"/>
              </w:pBdr>
              <w:ind w:left="147"/>
              <w:jc w:val="center"/>
              <w:rPr>
                <w:rFonts w:eastAsia="Times New Roman"/>
              </w:rPr>
            </w:pPr>
            <w:r>
              <w:rPr>
                <w:rFonts w:eastAsia="Times New Roman"/>
              </w:rPr>
              <w:t>Jahre</w:t>
            </w:r>
          </w:p>
        </w:tc>
      </w:tr>
    </w:tbl>
    <w:p w:rsidR="001C619E" w:rsidRDefault="001C619E" w:rsidP="00AE27DC"/>
    <w:p w:rsidR="001C619E" w:rsidRDefault="001C619E">
      <w:pPr>
        <w:spacing w:after="200"/>
        <w:jc w:val="left"/>
      </w:pPr>
      <w:r>
        <w:lastRenderedPageBreak/>
        <w:br w:type="page"/>
      </w:r>
    </w:p>
    <w:p w:rsidR="00AE27DC" w:rsidRDefault="00AE27DC" w:rsidP="00AE27DC">
      <w:r>
        <w:lastRenderedPageBreak/>
        <w:t xml:space="preserve">Quelle und Annahmen, auf denen die Bestimmung der Referenz-Nutzungsdauer beruht; z.B. </w:t>
      </w:r>
    </w:p>
    <w:p w:rsidR="00AE27DC" w:rsidRPr="00B72FA2" w:rsidRDefault="00380BCC" w:rsidP="00AE27DC">
      <w:pPr>
        <w:rPr>
          <w:rStyle w:val="Hyperlink"/>
          <w:color w:val="auto"/>
          <w:u w:val="none"/>
        </w:rPr>
      </w:pPr>
      <w:hyperlink r:id="rId15" w:history="1">
        <w:r w:rsidR="00AE27DC" w:rsidRPr="0064786C">
          <w:rPr>
            <w:rStyle w:val="Hyperlink"/>
          </w:rPr>
          <w:t>Nutzungsdauerkatalog</w:t>
        </w:r>
      </w:hyperlink>
      <w:r w:rsidR="00AE27DC" w:rsidRPr="0064786C">
        <w:rPr>
          <w:rStyle w:val="Hyperlink"/>
        </w:rPr>
        <w:t xml:space="preserve"> der Bau-EPD GmbH</w:t>
      </w:r>
      <w:r w:rsidR="00AE27DC" w:rsidRPr="0064786C">
        <w:rPr>
          <w:rStyle w:val="Funotenzeichen"/>
          <w:b/>
          <w:color w:val="0000FF"/>
          <w:u w:val="single"/>
        </w:rPr>
        <w:footnoteReference w:id="2"/>
      </w:r>
      <w:r w:rsidR="00AE27DC" w:rsidRPr="00A46B27">
        <w:rPr>
          <w:rStyle w:val="StandardAbsZchn"/>
        </w:rPr>
        <w:t xml:space="preserve">; </w:t>
      </w:r>
    </w:p>
    <w:p w:rsidR="00F32222" w:rsidRPr="00445DEB" w:rsidRDefault="00AE27DC" w:rsidP="00F32222">
      <w:pPr>
        <w:pStyle w:val="KapitelUeberschrift2"/>
      </w:pPr>
      <w:r>
        <w:t>4.3.2</w:t>
      </w:r>
      <w:r w:rsidR="00153C13">
        <w:tab/>
      </w:r>
      <w:r w:rsidR="00F32222" w:rsidRPr="00445DEB">
        <w:t>A1-A3</w:t>
      </w:r>
      <w:r>
        <w:t xml:space="preserve"> </w:t>
      </w:r>
      <w:r w:rsidR="00F32222" w:rsidRPr="00445DEB">
        <w:t>Herstellungsphase</w:t>
      </w:r>
    </w:p>
    <w:p w:rsidR="00F32222" w:rsidRPr="00DD2B91" w:rsidRDefault="00F32222" w:rsidP="00E31B89">
      <w:r w:rsidRPr="00DD2B91">
        <w:t>Beschreibung der Rohstoffgewinnung, -verarbeitung und der geographischen Herkunft der Rohstoffe sowie des Transports (A1 und A2)</w:t>
      </w:r>
    </w:p>
    <w:p w:rsidR="00F32222" w:rsidRPr="00DD2B91" w:rsidRDefault="00F32222" w:rsidP="00F32222">
      <w:pPr>
        <w:pStyle w:val="StandardAbs"/>
      </w:pPr>
      <w:r w:rsidRPr="00DD2B91">
        <w:t>Detaillierte Beschreibung des/der Herstellprozesse/s (A3)</w:t>
      </w:r>
    </w:p>
    <w:p w:rsidR="00F32222" w:rsidRDefault="00F32222" w:rsidP="00F32222">
      <w:pPr>
        <w:pStyle w:val="StandardAbs"/>
      </w:pPr>
      <w:r>
        <w:t xml:space="preserve">Bei Gruppen- und Branchen-EPDs </w:t>
      </w:r>
      <w:r w:rsidRPr="00E77DE3">
        <w:t xml:space="preserve">müssen die Produktionsverfahren aller Standorte beschrieben werden, </w:t>
      </w:r>
      <w:r>
        <w:t>und eine</w:t>
      </w:r>
      <w:r w:rsidRPr="00DD2B91">
        <w:t xml:space="preserve"> List</w:t>
      </w:r>
      <w:r>
        <w:t>e</w:t>
      </w:r>
      <w:r w:rsidRPr="00DD2B91">
        <w:t xml:space="preserve"> aller Produktionsstandorte </w:t>
      </w:r>
      <w:r>
        <w:t xml:space="preserve">im Anhang angegeben werden. </w:t>
      </w:r>
    </w:p>
    <w:p w:rsidR="00F32222" w:rsidRDefault="00F32222" w:rsidP="00F32222">
      <w:pPr>
        <w:pStyle w:val="StandardAbs"/>
      </w:pPr>
      <w:r>
        <w:t>Angabe des bilanzierten Produktionszeitraums</w:t>
      </w:r>
    </w:p>
    <w:p w:rsidR="00F32222" w:rsidRDefault="00F32222" w:rsidP="00E31B89"/>
    <w:p w:rsidR="00F32222" w:rsidRDefault="00F32222" w:rsidP="00F32222">
      <w:pPr>
        <w:pStyle w:val="Beschriftung"/>
        <w:keepNext/>
      </w:pPr>
      <w:bookmarkStart w:id="39" w:name="_Toc336404909"/>
      <w:r>
        <w:t xml:space="preserve">Tabelle </w:t>
      </w:r>
      <w:fldSimple w:instr=" SEQ Tabelle \* ARABIC ">
        <w:r w:rsidR="00380BCC">
          <w:rPr>
            <w:noProof/>
          </w:rPr>
          <w:t>7</w:t>
        </w:r>
      </w:fldSimple>
      <w:r>
        <w:t xml:space="preserve">: </w:t>
      </w:r>
      <w:r w:rsidRPr="00730ADB">
        <w:t xml:space="preserve">Energie- und Wasserbedarf für die Herstellung </w:t>
      </w:r>
      <w:r w:rsidRPr="00F72A9A">
        <w:t>pro m</w:t>
      </w:r>
      <w:r w:rsidRPr="00F72A9A">
        <w:rPr>
          <w:vertAlign w:val="superscript"/>
        </w:rPr>
        <w:t>3</w:t>
      </w:r>
      <w:r w:rsidRPr="00F72A9A">
        <w:t xml:space="preserve"> produziertes</w:t>
      </w:r>
      <w:r>
        <w:t xml:space="preserve"> Produkt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558"/>
      </w:tblGrid>
      <w:tr w:rsidR="00F32222" w:rsidRPr="00374C11" w:rsidTr="00F32222">
        <w:tc>
          <w:tcPr>
            <w:tcW w:w="736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rsidR="00F32222" w:rsidRPr="003B609C" w:rsidRDefault="00F32222" w:rsidP="008D0D12">
            <w:pPr>
              <w:keepNext/>
              <w:ind w:left="147"/>
              <w:rPr>
                <w:b/>
                <w:color w:val="000000" w:themeColor="text1"/>
              </w:rPr>
            </w:pPr>
            <w:r w:rsidRPr="003B609C">
              <w:rPr>
                <w:b/>
                <w:color w:val="000000" w:themeColor="text1"/>
              </w:rPr>
              <w:t>Bezeichnung</w:t>
            </w:r>
          </w:p>
        </w:tc>
        <w:tc>
          <w:tcPr>
            <w:tcW w:w="255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rsidR="00F32222" w:rsidRPr="003B609C" w:rsidRDefault="00F32222" w:rsidP="008D0D12">
            <w:pPr>
              <w:keepNext/>
              <w:ind w:left="147"/>
              <w:jc w:val="center"/>
              <w:rPr>
                <w:b/>
                <w:color w:val="000000" w:themeColor="text1"/>
              </w:rPr>
            </w:pPr>
            <w:r w:rsidRPr="003B609C">
              <w:rPr>
                <w:b/>
                <w:color w:val="000000" w:themeColor="text1"/>
              </w:rPr>
              <w:t>Messgröße je m</w:t>
            </w:r>
            <w:r w:rsidRPr="003B609C">
              <w:rPr>
                <w:b/>
                <w:color w:val="000000" w:themeColor="text1"/>
                <w:vertAlign w:val="superscript"/>
              </w:rPr>
              <w:t>3</w:t>
            </w:r>
            <w:r w:rsidRPr="003B609C">
              <w:rPr>
                <w:b/>
                <w:color w:val="000000" w:themeColor="text1"/>
              </w:rPr>
              <w:t xml:space="preserve"> Dämmstoff</w:t>
            </w:r>
          </w:p>
        </w:tc>
      </w:tr>
      <w:tr w:rsidR="00F32222" w:rsidRPr="00374C11" w:rsidTr="00F32222">
        <w:tc>
          <w:tcPr>
            <w:tcW w:w="73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keepNext/>
              <w:ind w:left="147"/>
              <w:rPr>
                <w:b/>
                <w:bCs/>
              </w:rPr>
            </w:pPr>
            <w:r>
              <w:t>Energieverbrauch aufgeschlüsselt nach Energieträger</w:t>
            </w:r>
          </w:p>
        </w:tc>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keepNext/>
              <w:ind w:left="147"/>
              <w:rPr>
                <w:spacing w:val="-4"/>
              </w:rPr>
            </w:pPr>
            <w:r w:rsidRPr="00F72A9A">
              <w:t>kWh oder MJ / m</w:t>
            </w:r>
            <w:r w:rsidRPr="00F72A9A">
              <w:rPr>
                <w:vertAlign w:val="superscript"/>
              </w:rPr>
              <w:t>3</w:t>
            </w:r>
          </w:p>
        </w:tc>
      </w:tr>
      <w:tr w:rsidR="00F32222" w:rsidRPr="00374C11" w:rsidTr="00F32222">
        <w:tc>
          <w:tcPr>
            <w:tcW w:w="73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2E1908" w:rsidRDefault="00F32222" w:rsidP="008D0D12">
            <w:pPr>
              <w:keepNext/>
              <w:ind w:left="147"/>
            </w:pPr>
            <w:r>
              <w:t>Süßwasserverbrauch aus Regenwasser</w:t>
            </w:r>
          </w:p>
        </w:tc>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2E1908" w:rsidRDefault="00F32222" w:rsidP="008D0D12">
            <w:pPr>
              <w:keepNext/>
              <w:ind w:left="147"/>
            </w:pPr>
            <w:r>
              <w:t>m</w:t>
            </w:r>
            <w:r w:rsidRPr="002E1908">
              <w:rPr>
                <w:vertAlign w:val="superscript"/>
              </w:rPr>
              <w:t>3</w:t>
            </w:r>
            <w:r>
              <w:rPr>
                <w:vertAlign w:val="superscript"/>
              </w:rPr>
              <w:t xml:space="preserve"> </w:t>
            </w:r>
            <w:r>
              <w:t>/ m</w:t>
            </w:r>
            <w:r w:rsidRPr="002F04C8">
              <w:rPr>
                <w:vertAlign w:val="superscript"/>
              </w:rPr>
              <w:t>3</w:t>
            </w:r>
          </w:p>
        </w:tc>
      </w:tr>
      <w:tr w:rsidR="00F32222" w:rsidRPr="00374C11" w:rsidTr="00F32222">
        <w:tc>
          <w:tcPr>
            <w:tcW w:w="73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2E1908" w:rsidRDefault="00F32222" w:rsidP="008D0D12">
            <w:pPr>
              <w:keepNext/>
              <w:ind w:left="147"/>
            </w:pPr>
            <w:r>
              <w:t>Süßwasserverbrauch aus Oberflächengewässer</w:t>
            </w:r>
          </w:p>
        </w:tc>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2E1908" w:rsidRDefault="00F32222" w:rsidP="008D0D12">
            <w:pPr>
              <w:keepNext/>
              <w:ind w:left="147"/>
            </w:pPr>
            <w:r>
              <w:t>m</w:t>
            </w:r>
            <w:r w:rsidRPr="002E1908">
              <w:rPr>
                <w:vertAlign w:val="superscript"/>
              </w:rPr>
              <w:t>3</w:t>
            </w:r>
            <w:r>
              <w:rPr>
                <w:vertAlign w:val="superscript"/>
              </w:rPr>
              <w:t xml:space="preserve"> </w:t>
            </w:r>
            <w:r>
              <w:t>/ m</w:t>
            </w:r>
            <w:r w:rsidRPr="002F04C8">
              <w:rPr>
                <w:vertAlign w:val="superscript"/>
              </w:rPr>
              <w:t>3</w:t>
            </w:r>
          </w:p>
        </w:tc>
      </w:tr>
      <w:tr w:rsidR="00F32222" w:rsidRPr="00374C11" w:rsidTr="00F32222">
        <w:tc>
          <w:tcPr>
            <w:tcW w:w="73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2E1908" w:rsidRDefault="00F32222" w:rsidP="008D0D12">
            <w:pPr>
              <w:keepNext/>
              <w:ind w:left="147"/>
            </w:pPr>
            <w:r>
              <w:t>Süßwasserverbrauch aus Brunnenwasser</w:t>
            </w:r>
          </w:p>
        </w:tc>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2E1908" w:rsidRDefault="00F32222" w:rsidP="008D0D12">
            <w:pPr>
              <w:keepNext/>
              <w:ind w:left="147"/>
            </w:pPr>
            <w:r>
              <w:t>m</w:t>
            </w:r>
            <w:r w:rsidRPr="002E1908">
              <w:rPr>
                <w:vertAlign w:val="superscript"/>
              </w:rPr>
              <w:t>3</w:t>
            </w:r>
            <w:r>
              <w:rPr>
                <w:vertAlign w:val="superscript"/>
              </w:rPr>
              <w:t xml:space="preserve"> </w:t>
            </w:r>
            <w:r>
              <w:t>/ m</w:t>
            </w:r>
            <w:r w:rsidRPr="002F04C8">
              <w:rPr>
                <w:vertAlign w:val="superscript"/>
              </w:rPr>
              <w:t>3</w:t>
            </w:r>
          </w:p>
        </w:tc>
      </w:tr>
      <w:tr w:rsidR="00F32222" w:rsidRPr="00374C11" w:rsidTr="00F32222">
        <w:tc>
          <w:tcPr>
            <w:tcW w:w="73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2E1908" w:rsidRDefault="00F32222" w:rsidP="008D0D12">
            <w:pPr>
              <w:keepNext/>
              <w:ind w:left="147"/>
            </w:pPr>
            <w:r>
              <w:t>Süßwasserverbrauch aus öffentlichen Wassernetz</w:t>
            </w:r>
          </w:p>
        </w:tc>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2E1908" w:rsidRDefault="00F32222" w:rsidP="008D0D12">
            <w:pPr>
              <w:keepNext/>
              <w:ind w:left="147"/>
            </w:pPr>
            <w:r>
              <w:t>m</w:t>
            </w:r>
            <w:r w:rsidRPr="002E1908">
              <w:rPr>
                <w:vertAlign w:val="superscript"/>
              </w:rPr>
              <w:t>3</w:t>
            </w:r>
            <w:r>
              <w:rPr>
                <w:vertAlign w:val="superscript"/>
              </w:rPr>
              <w:t xml:space="preserve"> </w:t>
            </w:r>
            <w:r>
              <w:t>/ m</w:t>
            </w:r>
            <w:r w:rsidRPr="002F04C8">
              <w:rPr>
                <w:vertAlign w:val="superscript"/>
              </w:rPr>
              <w:t>3</w:t>
            </w:r>
          </w:p>
        </w:tc>
      </w:tr>
    </w:tbl>
    <w:p w:rsidR="00F32222" w:rsidRPr="00730ADB" w:rsidRDefault="00F32222" w:rsidP="00F32222">
      <w:pPr>
        <w:pStyle w:val="StandardAbs"/>
      </w:pPr>
      <w:r w:rsidRPr="00730ADB">
        <w:t xml:space="preserve">Angaben zur Quantität und Qualität von Abgasen, Abwässern und Abfällen sind zu machen. </w:t>
      </w:r>
    </w:p>
    <w:p w:rsidR="00F32222" w:rsidRDefault="00F32222" w:rsidP="00F32222">
      <w:r w:rsidRPr="00730ADB">
        <w:t>Die Abfälle werden mit der jeweiligen Abfallschlüsselnummer pr</w:t>
      </w:r>
      <w:r>
        <w:t xml:space="preserve">o Tonne Endprodukt deklariert. </w:t>
      </w:r>
    </w:p>
    <w:p w:rsidR="00F32222" w:rsidRDefault="00F32222" w:rsidP="00F32222">
      <w:pPr>
        <w:pStyle w:val="StandardAbs"/>
      </w:pPr>
      <w:r w:rsidRPr="00DA37E4">
        <w:t>Ein aussagekräftiges Flussdiagramm des Herstellungsprozesses soll die Verständlichkeit der Beschreibung erhöhen.</w:t>
      </w:r>
    </w:p>
    <w:p w:rsidR="00F32222" w:rsidRPr="00DA37E4" w:rsidRDefault="00AE27DC" w:rsidP="00F32222">
      <w:pPr>
        <w:pStyle w:val="KapitelUeberschrift2"/>
      </w:pPr>
      <w:r>
        <w:t>4.3.3</w:t>
      </w:r>
      <w:r w:rsidR="00153C13">
        <w:tab/>
      </w:r>
      <w:r>
        <w:t xml:space="preserve">A4-A5 </w:t>
      </w:r>
      <w:r w:rsidR="00F32222" w:rsidRPr="00DA37E4">
        <w:t>Errichtungsphase</w:t>
      </w:r>
    </w:p>
    <w:p w:rsidR="00F32222" w:rsidRDefault="00F32222" w:rsidP="00F32222">
      <w:r>
        <w:t>Beschreibung der Szenarien für Transport und Einbau</w:t>
      </w:r>
    </w:p>
    <w:p w:rsidR="00F32222" w:rsidRDefault="00F32222" w:rsidP="00F32222">
      <w:pPr>
        <w:pStyle w:val="StandardAbs"/>
      </w:pPr>
      <w:r>
        <w:t>Die Parameter in Tabelle 5 und 6 und deren gelistete Einheiten sind zur Berechnung der Umweltwirkungen der Errichtungsphase heranzuziehen.</w:t>
      </w:r>
    </w:p>
    <w:p w:rsidR="00E31B89" w:rsidRPr="00DA37E4" w:rsidRDefault="00E31B89" w:rsidP="00E31B89"/>
    <w:p w:rsidR="00F32222" w:rsidRDefault="00F32222" w:rsidP="00F32222">
      <w:pPr>
        <w:pStyle w:val="Beschriftung"/>
        <w:keepNext/>
        <w:ind w:left="1418" w:hanging="1418"/>
      </w:pPr>
      <w:r>
        <w:t xml:space="preserve">Tabelle </w:t>
      </w:r>
      <w:fldSimple w:instr=" SEQ Tabelle \* ARABIC ">
        <w:r w:rsidR="00380BCC">
          <w:rPr>
            <w:noProof/>
          </w:rPr>
          <w:t>8</w:t>
        </w:r>
      </w:fldSimple>
      <w:r>
        <w:t>: Beschreibung des Szenarios</w:t>
      </w:r>
      <w:r w:rsidRPr="007C7005">
        <w:t xml:space="preserve"> </w:t>
      </w:r>
      <w:r>
        <w:t>für „</w:t>
      </w:r>
      <w:r w:rsidRPr="00DA37E4">
        <w:t>Transport zur Baustelle (A4)</w:t>
      </w:r>
      <w:r>
        <w:t xml:space="preserve">“ </w:t>
      </w:r>
      <w:r w:rsidRPr="001C696E">
        <w:t>(</w:t>
      </w:r>
      <w:proofErr w:type="spellStart"/>
      <w:r>
        <w:t>gem</w:t>
      </w:r>
      <w:proofErr w:type="spellEnd"/>
      <w:r>
        <w:t xml:space="preserve"> </w:t>
      </w:r>
      <w:r w:rsidRPr="001C696E">
        <w:t xml:space="preserve">Tabelle </w:t>
      </w:r>
      <w:r>
        <w:t>7</w:t>
      </w:r>
      <w:r w:rsidRPr="001C696E">
        <w:t xml:space="preserve"> der ÖNORM EN 15804)</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2"/>
        <w:gridCol w:w="2634"/>
      </w:tblGrid>
      <w:tr w:rsidR="00F32222" w:rsidRPr="00C37FB7" w:rsidTr="008D0D12">
        <w:tc>
          <w:tcPr>
            <w:tcW w:w="66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rsidR="00F32222" w:rsidRPr="003B609C" w:rsidRDefault="00F32222" w:rsidP="008D0D12">
            <w:pPr>
              <w:pBdr>
                <w:top w:val="nil"/>
                <w:left w:val="nil"/>
                <w:bottom w:val="nil"/>
                <w:right w:val="nil"/>
                <w:between w:val="nil"/>
                <w:bar w:val="nil"/>
              </w:pBdr>
              <w:ind w:left="147"/>
              <w:rPr>
                <w:rFonts w:eastAsia="Times New Roman" w:cs="Times New Roman"/>
                <w:b/>
                <w:color w:val="000000" w:themeColor="text1"/>
              </w:rPr>
            </w:pPr>
            <w:r w:rsidRPr="003B609C">
              <w:rPr>
                <w:b/>
                <w:color w:val="000000" w:themeColor="text1"/>
              </w:rPr>
              <w:t>Parameter zur Beschreibung des Transportes zur Baustelle (A4)</w:t>
            </w:r>
          </w:p>
        </w:tc>
        <w:tc>
          <w:tcPr>
            <w:tcW w:w="240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tcPr>
          <w:p w:rsidR="00F32222" w:rsidRPr="003B609C" w:rsidRDefault="00F32222" w:rsidP="008D0D12">
            <w:pPr>
              <w:jc w:val="center"/>
              <w:rPr>
                <w:b/>
                <w:color w:val="000000" w:themeColor="text1"/>
              </w:rPr>
            </w:pPr>
            <w:r w:rsidRPr="003B609C">
              <w:rPr>
                <w:b/>
                <w:color w:val="000000" w:themeColor="text1"/>
              </w:rPr>
              <w:t>Messgröße je m</w:t>
            </w:r>
            <w:r w:rsidRPr="003B609C">
              <w:rPr>
                <w:b/>
                <w:color w:val="000000" w:themeColor="text1"/>
                <w:vertAlign w:val="superscript"/>
              </w:rPr>
              <w:t>3</w:t>
            </w:r>
            <w:r w:rsidRPr="003B609C">
              <w:rPr>
                <w:b/>
                <w:color w:val="000000" w:themeColor="text1"/>
              </w:rPr>
              <w:t xml:space="preserve"> </w:t>
            </w:r>
            <w:r w:rsidRPr="003B609C">
              <w:rPr>
                <w:b/>
                <w:color w:val="000000" w:themeColor="text1"/>
              </w:rPr>
              <w:br/>
              <w:t>Dämmstoff</w:t>
            </w:r>
          </w:p>
        </w:tc>
      </w:tr>
      <w:tr w:rsidR="00F32222" w:rsidRPr="00374C11" w:rsidTr="008D0D12">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rPr>
                <w:rFonts w:eastAsia="Times New Roman"/>
              </w:rPr>
            </w:pPr>
            <w:r>
              <w:rPr>
                <w:rFonts w:eastAsia="Times New Roman"/>
                <w:spacing w:val="-4"/>
              </w:rPr>
              <w:t>Mittlere Transportentfernung</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jc w:val="center"/>
              <w:rPr>
                <w:rFonts w:eastAsia="Times New Roman"/>
                <w:spacing w:val="-4"/>
              </w:rPr>
            </w:pPr>
            <w:r w:rsidRPr="00374C11">
              <w:rPr>
                <w:rFonts w:eastAsia="Times New Roman"/>
              </w:rPr>
              <w:t>km</w:t>
            </w:r>
          </w:p>
        </w:tc>
      </w:tr>
      <w:tr w:rsidR="00F32222" w:rsidRPr="008542AE" w:rsidTr="008D0D12">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jc w:val="left"/>
              <w:rPr>
                <w:rFonts w:eastAsia="Times New Roman"/>
                <w:spacing w:val="-4"/>
              </w:rPr>
            </w:pPr>
            <w:r w:rsidRPr="001D37FD">
              <w:rPr>
                <w:rFonts w:eastAsia="Times New Roman"/>
                <w:spacing w:val="-4"/>
              </w:rPr>
              <w:t>Fahrzeugtyp nach Kommissionsdirektive  2007/37/EG (Europäischer Emissionsstandard)</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8542AE" w:rsidRDefault="00F32222" w:rsidP="008D0D12">
            <w:pPr>
              <w:pBdr>
                <w:top w:val="nil"/>
                <w:left w:val="nil"/>
                <w:bottom w:val="nil"/>
                <w:right w:val="nil"/>
                <w:between w:val="nil"/>
                <w:bar w:val="nil"/>
              </w:pBdr>
              <w:ind w:left="147" w:right="-141"/>
              <w:jc w:val="left"/>
              <w:rPr>
                <w:rFonts w:eastAsia="Times New Roman"/>
                <w:spacing w:val="-4"/>
              </w:rPr>
            </w:pPr>
            <w:r w:rsidRPr="008542AE">
              <w:rPr>
                <w:rFonts w:eastAsia="Times New Roman"/>
                <w:spacing w:val="-4"/>
              </w:rPr>
              <w:t>-</w:t>
            </w:r>
          </w:p>
        </w:tc>
      </w:tr>
      <w:tr w:rsidR="00F32222" w:rsidRPr="00374C11" w:rsidTr="008D0D12">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jc w:val="left"/>
              <w:rPr>
                <w:rFonts w:eastAsia="Times New Roman"/>
                <w:b/>
                <w:bCs/>
              </w:rPr>
            </w:pPr>
            <w:r>
              <w:rPr>
                <w:rFonts w:eastAsia="Times New Roman"/>
                <w:spacing w:val="-4"/>
              </w:rPr>
              <w:t xml:space="preserve">Mittlerer </w:t>
            </w:r>
            <w:r w:rsidRPr="00374C11">
              <w:rPr>
                <w:rFonts w:eastAsia="Times New Roman"/>
                <w:spacing w:val="-4"/>
              </w:rPr>
              <w:t>Treibstoff</w:t>
            </w:r>
            <w:r>
              <w:rPr>
                <w:rFonts w:eastAsia="Times New Roman"/>
                <w:spacing w:val="-4"/>
              </w:rPr>
              <w:t>verbrauch, Treibstofftyp: ….</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jc w:val="center"/>
              <w:rPr>
                <w:rFonts w:eastAsia="Times New Roman"/>
                <w:spacing w:val="-4"/>
              </w:rPr>
            </w:pPr>
            <w:r w:rsidRPr="00374C11">
              <w:rPr>
                <w:rFonts w:eastAsia="Times New Roman"/>
              </w:rPr>
              <w:t>l/100</w:t>
            </w:r>
            <w:r>
              <w:rPr>
                <w:rFonts w:eastAsia="Times New Roman"/>
              </w:rPr>
              <w:t xml:space="preserve"> </w:t>
            </w:r>
            <w:r w:rsidRPr="00374C11">
              <w:rPr>
                <w:rFonts w:eastAsia="Times New Roman"/>
              </w:rPr>
              <w:t>km</w:t>
            </w:r>
          </w:p>
        </w:tc>
      </w:tr>
      <w:tr w:rsidR="00F32222" w:rsidRPr="00374C11" w:rsidTr="008D0D12">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jc w:val="left"/>
              <w:rPr>
                <w:rFonts w:eastAsia="Times New Roman"/>
                <w:b/>
                <w:bCs/>
              </w:rPr>
            </w:pPr>
            <w:r>
              <w:rPr>
                <w:rFonts w:eastAsia="Times New Roman"/>
                <w:spacing w:val="-4"/>
              </w:rPr>
              <w:t>Maximale Transportmenge</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jc w:val="center"/>
              <w:rPr>
                <w:rFonts w:eastAsia="Times New Roman"/>
                <w:spacing w:val="-4"/>
              </w:rPr>
            </w:pPr>
            <w:r>
              <w:rPr>
                <w:rFonts w:eastAsia="Times New Roman"/>
              </w:rPr>
              <w:t>Tonnen</w:t>
            </w:r>
          </w:p>
        </w:tc>
      </w:tr>
      <w:tr w:rsidR="00F32222" w:rsidRPr="00374C11" w:rsidTr="008D0D12">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jc w:val="left"/>
              <w:rPr>
                <w:rFonts w:eastAsia="Times New Roman"/>
              </w:rPr>
            </w:pPr>
            <w:r>
              <w:rPr>
                <w:rFonts w:eastAsia="Times New Roman"/>
                <w:spacing w:val="-4"/>
              </w:rPr>
              <w:t xml:space="preserve">Mittlere </w:t>
            </w:r>
            <w:r w:rsidRPr="00374C11">
              <w:rPr>
                <w:rFonts w:eastAsia="Times New Roman"/>
                <w:spacing w:val="-4"/>
              </w:rPr>
              <w:t>Auslastung (einschließlich Leerfahrten)</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r w:rsidR="00F32222" w:rsidRPr="00374C11" w:rsidTr="008D0D12">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jc w:val="left"/>
              <w:rPr>
                <w:rFonts w:eastAsia="Times New Roman"/>
              </w:rPr>
            </w:pPr>
            <w:r w:rsidRPr="00374C11">
              <w:rPr>
                <w:rFonts w:eastAsia="Times New Roman"/>
                <w:spacing w:val="-4"/>
              </w:rPr>
              <w:t>Rohdichte der transportierten Produkte</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jc w:val="center"/>
              <w:rPr>
                <w:rFonts w:eastAsia="Times New Roman"/>
                <w:spacing w:val="-4"/>
              </w:rPr>
            </w:pPr>
            <w:r w:rsidRPr="00374C11">
              <w:rPr>
                <w:rFonts w:eastAsia="Times New Roman"/>
              </w:rPr>
              <w:t>kg/m</w:t>
            </w:r>
            <w:r w:rsidRPr="00374C11">
              <w:rPr>
                <w:rFonts w:eastAsia="Times New Roman"/>
                <w:vertAlign w:val="superscript"/>
              </w:rPr>
              <w:t>3</w:t>
            </w:r>
          </w:p>
        </w:tc>
      </w:tr>
      <w:tr w:rsidR="00F32222" w:rsidRPr="00374C11" w:rsidTr="008D0D12">
        <w:trPr>
          <w:trHeight w:val="421"/>
        </w:trPr>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jc w:val="left"/>
              <w:rPr>
                <w:rFonts w:eastAsia="Times New Roman"/>
              </w:rPr>
            </w:pPr>
            <w:r w:rsidRPr="00374C11">
              <w:rPr>
                <w:rFonts w:eastAsia="Times New Roman"/>
                <w:spacing w:val="-4"/>
              </w:rPr>
              <w:t>Volumen-Auslastungsfaktor</w:t>
            </w:r>
            <w:r>
              <w:rPr>
                <w:rFonts w:eastAsia="Times New Roman"/>
                <w:spacing w:val="-4"/>
              </w:rPr>
              <w:t xml:space="preserve"> </w:t>
            </w:r>
            <w:r w:rsidRPr="001D37FD">
              <w:rPr>
                <w:rFonts w:eastAsia="Times New Roman"/>
                <w:spacing w:val="-4"/>
              </w:rPr>
              <w:t>(Faktor:</w:t>
            </w:r>
            <w:r>
              <w:rPr>
                <w:rFonts w:eastAsia="Times New Roman"/>
                <w:spacing w:val="-4"/>
              </w:rPr>
              <w:t xml:space="preserve"> </w:t>
            </w:r>
            <w:r w:rsidRPr="001D37FD">
              <w:rPr>
                <w:rFonts w:eastAsia="Times New Roman"/>
                <w:spacing w:val="-4"/>
              </w:rPr>
              <w:t>=1</w:t>
            </w:r>
            <w:r>
              <w:rPr>
                <w:rFonts w:eastAsia="Times New Roman"/>
                <w:spacing w:val="-4"/>
              </w:rPr>
              <w:t xml:space="preserve"> </w:t>
            </w:r>
            <w:r w:rsidRPr="001D37FD">
              <w:rPr>
                <w:rFonts w:eastAsia="Times New Roman"/>
                <w:spacing w:val="-4"/>
              </w:rPr>
              <w:t>oder</w:t>
            </w:r>
            <w:r>
              <w:rPr>
                <w:rFonts w:eastAsia="Times New Roman"/>
                <w:spacing w:val="-4"/>
              </w:rPr>
              <w:t xml:space="preserve"> </w:t>
            </w:r>
            <w:r w:rsidRPr="001D37FD">
              <w:rPr>
                <w:rFonts w:eastAsia="Times New Roman"/>
                <w:spacing w:val="-4"/>
              </w:rPr>
              <w:t>&lt;1 oder</w:t>
            </w:r>
            <w:r>
              <w:rPr>
                <w:rFonts w:eastAsia="Times New Roman"/>
                <w:spacing w:val="-4"/>
              </w:rPr>
              <w:t xml:space="preserve"> </w:t>
            </w:r>
            <w:r w:rsidRPr="001D37FD">
              <w:rPr>
                <w:rFonts w:eastAsia="Times New Roman"/>
                <w:spacing w:val="-4"/>
              </w:rPr>
              <w:t>≥</w:t>
            </w:r>
            <w:r>
              <w:rPr>
                <w:rFonts w:eastAsia="Times New Roman"/>
                <w:spacing w:val="-4"/>
              </w:rPr>
              <w:t xml:space="preserve"> </w:t>
            </w:r>
            <w:r w:rsidRPr="001D37FD">
              <w:rPr>
                <w:rFonts w:eastAsia="Times New Roman"/>
                <w:spacing w:val="-4"/>
              </w:rPr>
              <w:t>1</w:t>
            </w:r>
            <w:r>
              <w:rPr>
                <w:rFonts w:eastAsia="Times New Roman"/>
                <w:spacing w:val="-4"/>
              </w:rPr>
              <w:t xml:space="preserve"> </w:t>
            </w:r>
            <w:r w:rsidRPr="001D37FD">
              <w:rPr>
                <w:rFonts w:eastAsia="Times New Roman"/>
                <w:spacing w:val="-4"/>
              </w:rPr>
              <w:t>für</w:t>
            </w:r>
            <w:r>
              <w:rPr>
                <w:rFonts w:eastAsia="Times New Roman"/>
                <w:spacing w:val="-4"/>
              </w:rPr>
              <w:t xml:space="preserve"> </w:t>
            </w:r>
            <w:r w:rsidRPr="001D37FD">
              <w:rPr>
                <w:rFonts w:eastAsia="Times New Roman"/>
                <w:spacing w:val="-4"/>
              </w:rPr>
              <w:t>komprimierte</w:t>
            </w:r>
            <w:r>
              <w:rPr>
                <w:rFonts w:eastAsia="Times New Roman"/>
                <w:spacing w:val="-4"/>
              </w:rPr>
              <w:t xml:space="preserve"> </w:t>
            </w:r>
            <w:r w:rsidRPr="001D37FD">
              <w:rPr>
                <w:rFonts w:eastAsia="Times New Roman"/>
                <w:spacing w:val="-4"/>
              </w:rPr>
              <w:t>oder</w:t>
            </w:r>
            <w:r>
              <w:rPr>
                <w:rFonts w:eastAsia="Times New Roman"/>
                <w:spacing w:val="-4"/>
              </w:rPr>
              <w:t xml:space="preserve"> </w:t>
            </w:r>
            <w:r w:rsidRPr="001D37FD">
              <w:rPr>
                <w:rFonts w:eastAsia="Times New Roman"/>
                <w:spacing w:val="-4"/>
              </w:rPr>
              <w:t>in</w:t>
            </w:r>
            <w:r>
              <w:rPr>
                <w:rFonts w:eastAsia="Times New Roman"/>
                <w:spacing w:val="-4"/>
              </w:rPr>
              <w:t xml:space="preserve"> </w:t>
            </w:r>
            <w:r w:rsidRPr="001D37FD">
              <w:rPr>
                <w:rFonts w:eastAsia="Times New Roman"/>
                <w:spacing w:val="-4"/>
              </w:rPr>
              <w:t>Schachteln verpackte Produkte)</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bl>
    <w:p w:rsidR="00F32222" w:rsidRPr="003A4480" w:rsidRDefault="00F32222" w:rsidP="00F32222"/>
    <w:p w:rsidR="00F32222" w:rsidRPr="001F6A0B" w:rsidRDefault="00F32222" w:rsidP="00F32222">
      <w:pPr>
        <w:pStyle w:val="Beschriftung"/>
        <w:keepNext/>
        <w:ind w:left="1418" w:hanging="1418"/>
      </w:pPr>
      <w:r w:rsidRPr="001F6A0B">
        <w:t xml:space="preserve">Tabelle </w:t>
      </w:r>
      <w:fldSimple w:instr=" SEQ Tabelle \* ARABIC ">
        <w:r w:rsidR="00380BCC">
          <w:rPr>
            <w:noProof/>
          </w:rPr>
          <w:t>9</w:t>
        </w:r>
      </w:fldSimple>
      <w:r>
        <w:t xml:space="preserve">: </w:t>
      </w:r>
      <w:r w:rsidRPr="001F6A0B">
        <w:t>Beschreibung des Szenarios für „Einbau in das Gebäude (A5)“ (gem</w:t>
      </w:r>
      <w:r>
        <w:t>.</w:t>
      </w:r>
      <w:r w:rsidRPr="001F6A0B">
        <w:t xml:space="preserve"> Tabelle 8 der ÖNORM EN 15804)</w:t>
      </w:r>
    </w:p>
    <w:tbl>
      <w:tblPr>
        <w:tblStyle w:val="Tabellenraster"/>
        <w:tblW w:w="9810" w:type="dxa"/>
        <w:tblInd w:w="108" w:type="dxa"/>
        <w:tblLook w:val="04A0" w:firstRow="1" w:lastRow="0" w:firstColumn="1" w:lastColumn="0" w:noHBand="0" w:noVBand="1"/>
      </w:tblPr>
      <w:tblGrid>
        <w:gridCol w:w="7117"/>
        <w:gridCol w:w="2693"/>
      </w:tblGrid>
      <w:tr w:rsidR="00F32222" w:rsidRPr="0093150A" w:rsidTr="00F32222">
        <w:tc>
          <w:tcPr>
            <w:tcW w:w="7117" w:type="dxa"/>
            <w:shd w:val="clear" w:color="auto" w:fill="8DB3E2" w:themeFill="text2" w:themeFillTint="66"/>
            <w:vAlign w:val="center"/>
          </w:tcPr>
          <w:p w:rsidR="00F32222" w:rsidRPr="003B609C" w:rsidRDefault="00F32222" w:rsidP="008D0D12">
            <w:pPr>
              <w:rPr>
                <w:b/>
                <w:color w:val="000000" w:themeColor="text1"/>
              </w:rPr>
            </w:pPr>
            <w:r w:rsidRPr="003B609C">
              <w:rPr>
                <w:b/>
                <w:color w:val="000000" w:themeColor="text1"/>
              </w:rPr>
              <w:t>Parameter zur Beschreibung des Einbaus ins Gebäude (A5)</w:t>
            </w:r>
          </w:p>
        </w:tc>
        <w:tc>
          <w:tcPr>
            <w:tcW w:w="2693" w:type="dxa"/>
            <w:shd w:val="clear" w:color="auto" w:fill="8DB3E2" w:themeFill="text2" w:themeFillTint="66"/>
          </w:tcPr>
          <w:p w:rsidR="00F32222" w:rsidRPr="003B609C" w:rsidRDefault="00F32222" w:rsidP="008D0D12">
            <w:pPr>
              <w:jc w:val="center"/>
              <w:rPr>
                <w:b/>
                <w:color w:val="000000" w:themeColor="text1"/>
              </w:rPr>
            </w:pPr>
            <w:r w:rsidRPr="003B609C">
              <w:rPr>
                <w:b/>
                <w:color w:val="000000" w:themeColor="text1"/>
              </w:rPr>
              <w:t>Messgröße je m</w:t>
            </w:r>
            <w:r w:rsidRPr="003B609C">
              <w:rPr>
                <w:b/>
                <w:color w:val="000000" w:themeColor="text1"/>
                <w:vertAlign w:val="superscript"/>
              </w:rPr>
              <w:t>3</w:t>
            </w:r>
            <w:r w:rsidRPr="003B609C">
              <w:rPr>
                <w:b/>
                <w:color w:val="000000" w:themeColor="text1"/>
              </w:rPr>
              <w:t xml:space="preserve"> Dämmstoff</w:t>
            </w:r>
          </w:p>
        </w:tc>
      </w:tr>
      <w:tr w:rsidR="00F32222" w:rsidRPr="0093150A" w:rsidTr="00F32222">
        <w:tc>
          <w:tcPr>
            <w:tcW w:w="7117" w:type="dxa"/>
          </w:tcPr>
          <w:p w:rsidR="00F32222" w:rsidRPr="0093150A" w:rsidRDefault="00F32222" w:rsidP="008D0D12">
            <w:r w:rsidRPr="0093150A">
              <w:t xml:space="preserve">Hilfsstoffe für den Einbau </w:t>
            </w:r>
          </w:p>
          <w:p w:rsidR="00F32222" w:rsidRPr="0093150A" w:rsidRDefault="00F32222" w:rsidP="008D0D12">
            <w:r w:rsidRPr="0093150A">
              <w:t>(spezifiziert nach Stoffen)</w:t>
            </w:r>
          </w:p>
        </w:tc>
        <w:tc>
          <w:tcPr>
            <w:tcW w:w="2693" w:type="dxa"/>
            <w:vAlign w:val="center"/>
          </w:tcPr>
          <w:p w:rsidR="00F32222" w:rsidRPr="0093150A" w:rsidRDefault="00F32222" w:rsidP="008D0D12">
            <w:pPr>
              <w:jc w:val="center"/>
            </w:pPr>
            <w:r>
              <w:t>sinnvolle Einheit</w:t>
            </w:r>
          </w:p>
        </w:tc>
      </w:tr>
      <w:tr w:rsidR="00F32222" w:rsidRPr="0093150A" w:rsidTr="00F32222">
        <w:tc>
          <w:tcPr>
            <w:tcW w:w="7117" w:type="dxa"/>
          </w:tcPr>
          <w:p w:rsidR="00F32222" w:rsidRPr="0093150A" w:rsidRDefault="00F32222" w:rsidP="008D0D12">
            <w:r>
              <w:t>Wasserverbrauch</w:t>
            </w:r>
          </w:p>
        </w:tc>
        <w:tc>
          <w:tcPr>
            <w:tcW w:w="2693" w:type="dxa"/>
            <w:shd w:val="clear" w:color="auto" w:fill="auto"/>
            <w:vAlign w:val="center"/>
          </w:tcPr>
          <w:p w:rsidR="00F32222" w:rsidRPr="0093150A" w:rsidRDefault="00F32222" w:rsidP="008D0D12">
            <w:pPr>
              <w:jc w:val="center"/>
            </w:pPr>
            <w:r w:rsidRPr="0093150A">
              <w:t>m</w:t>
            </w:r>
            <w:r w:rsidRPr="0093150A">
              <w:rPr>
                <w:vertAlign w:val="superscript"/>
              </w:rPr>
              <w:t>3</w:t>
            </w:r>
          </w:p>
        </w:tc>
      </w:tr>
      <w:tr w:rsidR="00F32222" w:rsidRPr="0093150A" w:rsidTr="00F32222">
        <w:tc>
          <w:tcPr>
            <w:tcW w:w="7117" w:type="dxa"/>
          </w:tcPr>
          <w:p w:rsidR="00F32222" w:rsidRPr="0093150A" w:rsidRDefault="00F32222" w:rsidP="008D0D12">
            <w:r w:rsidRPr="0093150A">
              <w:t>Sonstiger Ressourceneinsatz</w:t>
            </w:r>
          </w:p>
        </w:tc>
        <w:tc>
          <w:tcPr>
            <w:tcW w:w="2693" w:type="dxa"/>
            <w:vAlign w:val="center"/>
          </w:tcPr>
          <w:p w:rsidR="00F32222" w:rsidRPr="0093150A" w:rsidRDefault="00F32222" w:rsidP="008D0D12">
            <w:pPr>
              <w:jc w:val="center"/>
            </w:pPr>
            <w:r w:rsidRPr="0093150A">
              <w:t>kg</w:t>
            </w:r>
          </w:p>
        </w:tc>
      </w:tr>
      <w:tr w:rsidR="00F32222" w:rsidRPr="0093150A" w:rsidTr="00F32222">
        <w:tc>
          <w:tcPr>
            <w:tcW w:w="7117" w:type="dxa"/>
          </w:tcPr>
          <w:p w:rsidR="00F32222" w:rsidRPr="0093150A" w:rsidRDefault="00F32222" w:rsidP="008D0D12">
            <w:r w:rsidRPr="00374C11">
              <w:rPr>
                <w:rFonts w:eastAsia="Times New Roman"/>
                <w:spacing w:val="-4"/>
              </w:rPr>
              <w:t>Stromverbrauch</w:t>
            </w:r>
          </w:p>
        </w:tc>
        <w:tc>
          <w:tcPr>
            <w:tcW w:w="2693" w:type="dxa"/>
            <w:vAlign w:val="center"/>
          </w:tcPr>
          <w:p w:rsidR="00F32222" w:rsidRPr="0093150A" w:rsidRDefault="00F32222" w:rsidP="008D0D12">
            <w:pPr>
              <w:jc w:val="center"/>
            </w:pPr>
            <w:r w:rsidRPr="00374C11">
              <w:rPr>
                <w:rFonts w:eastAsia="Times New Roman"/>
              </w:rPr>
              <w:t>kWh</w:t>
            </w:r>
            <w:r>
              <w:rPr>
                <w:rFonts w:eastAsia="Times New Roman"/>
              </w:rPr>
              <w:t xml:space="preserve"> oder MJ</w:t>
            </w:r>
          </w:p>
        </w:tc>
      </w:tr>
      <w:tr w:rsidR="00F32222" w:rsidRPr="0093150A" w:rsidTr="00F32222">
        <w:tc>
          <w:tcPr>
            <w:tcW w:w="7117" w:type="dxa"/>
          </w:tcPr>
          <w:p w:rsidR="00F32222" w:rsidRPr="0093150A" w:rsidRDefault="00F32222" w:rsidP="008D0D12">
            <w:r>
              <w:rPr>
                <w:rFonts w:eastAsia="Times New Roman"/>
                <w:spacing w:val="-4"/>
              </w:rPr>
              <w:t>Weiterer</w:t>
            </w:r>
            <w:r w:rsidRPr="00374C11">
              <w:rPr>
                <w:rFonts w:eastAsia="Times New Roman"/>
                <w:spacing w:val="-4"/>
              </w:rPr>
              <w:t xml:space="preserve"> Energieträger</w:t>
            </w:r>
            <w:r>
              <w:rPr>
                <w:rFonts w:eastAsia="Times New Roman"/>
                <w:spacing w:val="-4"/>
              </w:rPr>
              <w:t>: …………….</w:t>
            </w:r>
          </w:p>
        </w:tc>
        <w:tc>
          <w:tcPr>
            <w:tcW w:w="2693" w:type="dxa"/>
            <w:vAlign w:val="center"/>
          </w:tcPr>
          <w:p w:rsidR="00F32222" w:rsidRPr="0093150A" w:rsidRDefault="00F32222" w:rsidP="008D0D12">
            <w:pPr>
              <w:jc w:val="center"/>
            </w:pPr>
            <w:r>
              <w:rPr>
                <w:rFonts w:eastAsia="Times New Roman"/>
              </w:rPr>
              <w:t>kWh oder andere Einheit (z.B. Liter)</w:t>
            </w:r>
          </w:p>
        </w:tc>
      </w:tr>
      <w:tr w:rsidR="00F32222" w:rsidRPr="0093150A" w:rsidTr="00F32222">
        <w:tc>
          <w:tcPr>
            <w:tcW w:w="7117" w:type="dxa"/>
          </w:tcPr>
          <w:p w:rsidR="00F32222" w:rsidRPr="0093150A" w:rsidRDefault="00F32222" w:rsidP="008D0D12">
            <w:r w:rsidRPr="0093150A">
              <w:lastRenderedPageBreak/>
              <w:t>Materialverlust auf der Baustelle vor der Abfallbehandlung, verursacht durch den Einbau des Produktes (spezifiziert nach Stoffen)</w:t>
            </w:r>
          </w:p>
        </w:tc>
        <w:tc>
          <w:tcPr>
            <w:tcW w:w="2693" w:type="dxa"/>
            <w:vAlign w:val="center"/>
          </w:tcPr>
          <w:p w:rsidR="00F32222" w:rsidRPr="0093150A" w:rsidRDefault="00F32222" w:rsidP="008D0D12">
            <w:pPr>
              <w:jc w:val="center"/>
            </w:pPr>
            <w:r w:rsidRPr="0093150A">
              <w:t>kg</w:t>
            </w:r>
          </w:p>
        </w:tc>
      </w:tr>
      <w:tr w:rsidR="00F32222" w:rsidRPr="0093150A" w:rsidTr="00F32222">
        <w:tc>
          <w:tcPr>
            <w:tcW w:w="7117" w:type="dxa"/>
          </w:tcPr>
          <w:p w:rsidR="00F32222" w:rsidRPr="0093150A" w:rsidRDefault="00F32222" w:rsidP="008D0D12">
            <w:r w:rsidRPr="0093150A">
              <w:t>Output-Stoffe (spezifiziert nach Stoffen) infolge der Abfallbehandlung auf der Baustelle, z.B. Sammlung zum Recycling, für die Energierückgewinnung, für die Entsorgung (spezifiziert nach Entsorgungsverfahren)</w:t>
            </w:r>
          </w:p>
        </w:tc>
        <w:tc>
          <w:tcPr>
            <w:tcW w:w="2693" w:type="dxa"/>
            <w:vAlign w:val="center"/>
          </w:tcPr>
          <w:p w:rsidR="00F32222" w:rsidRPr="0093150A" w:rsidRDefault="00F32222" w:rsidP="008D0D12">
            <w:pPr>
              <w:jc w:val="center"/>
            </w:pPr>
            <w:r w:rsidRPr="0093150A">
              <w:t>kg</w:t>
            </w:r>
          </w:p>
        </w:tc>
      </w:tr>
      <w:tr w:rsidR="00F32222" w:rsidRPr="0093150A" w:rsidTr="00F32222">
        <w:tc>
          <w:tcPr>
            <w:tcW w:w="7117" w:type="dxa"/>
          </w:tcPr>
          <w:p w:rsidR="00F32222" w:rsidRPr="0093150A" w:rsidRDefault="00F32222" w:rsidP="008D0D12">
            <w:r w:rsidRPr="0093150A">
              <w:t>Direkte Emissionen in die Umgebungsluft</w:t>
            </w:r>
            <w:r>
              <w:t xml:space="preserve"> </w:t>
            </w:r>
            <w:r>
              <w:rPr>
                <w:rFonts w:eastAsia="Times New Roman"/>
                <w:spacing w:val="-4"/>
              </w:rPr>
              <w:t xml:space="preserve">(z.B. </w:t>
            </w:r>
            <w:r w:rsidRPr="00374C11">
              <w:rPr>
                <w:rFonts w:eastAsia="Times New Roman"/>
                <w:spacing w:val="-4"/>
              </w:rPr>
              <w:t>Staub</w:t>
            </w:r>
            <w:r>
              <w:rPr>
                <w:rFonts w:eastAsia="Times New Roman"/>
                <w:spacing w:val="-4"/>
              </w:rPr>
              <w:t>, VOC)</w:t>
            </w:r>
            <w:r w:rsidRPr="0093150A">
              <w:t>, Boden und Wasser</w:t>
            </w:r>
          </w:p>
        </w:tc>
        <w:tc>
          <w:tcPr>
            <w:tcW w:w="2693" w:type="dxa"/>
            <w:vAlign w:val="center"/>
          </w:tcPr>
          <w:p w:rsidR="00F32222" w:rsidRPr="0093150A" w:rsidRDefault="00F32222" w:rsidP="008D0D12">
            <w:pPr>
              <w:jc w:val="center"/>
            </w:pPr>
            <w:r w:rsidRPr="0093150A">
              <w:t>kg</w:t>
            </w:r>
          </w:p>
        </w:tc>
      </w:tr>
    </w:tbl>
    <w:p w:rsidR="00F32222" w:rsidRPr="00287ACB" w:rsidRDefault="00AE27DC" w:rsidP="00F32222">
      <w:pPr>
        <w:pStyle w:val="KapitelUeberschrift2"/>
      </w:pPr>
      <w:r>
        <w:t>4.3.4</w:t>
      </w:r>
      <w:r w:rsidR="00153C13">
        <w:tab/>
      </w:r>
      <w:r w:rsidR="00F32222" w:rsidRPr="00287ACB">
        <w:t>B1-B7</w:t>
      </w:r>
      <w:r>
        <w:t xml:space="preserve"> </w:t>
      </w:r>
      <w:r w:rsidR="00F32222" w:rsidRPr="00287ACB">
        <w:t>Nutzungsphase</w:t>
      </w:r>
    </w:p>
    <w:p w:rsidR="00F32222" w:rsidRDefault="00F32222" w:rsidP="00F32222">
      <w:pPr>
        <w:pStyle w:val="StandardAbs"/>
      </w:pPr>
      <w:r>
        <w:t xml:space="preserve">In den Lebensphasen B1 bis B7 gibt es keine negativen Auswirkungen auf die Ökobilanz des Produkts. Die positiven Auswirkungen auf die Ökobilanz des Gebäudes durch Senkung des Heizenergiebedarfs sind nicht Gegenstand der Produktökobilanz. </w:t>
      </w:r>
    </w:p>
    <w:p w:rsidR="00F32222" w:rsidRDefault="00AE27DC" w:rsidP="00F32222">
      <w:pPr>
        <w:pStyle w:val="KapitelUeberschrift2"/>
      </w:pPr>
      <w:r>
        <w:t>4.3.5</w:t>
      </w:r>
      <w:r w:rsidR="00153C13">
        <w:tab/>
      </w:r>
      <w:r w:rsidR="00F32222" w:rsidRPr="00854F99">
        <w:t>C1-C4</w:t>
      </w:r>
      <w:r>
        <w:t xml:space="preserve"> </w:t>
      </w:r>
      <w:r w:rsidR="00F32222" w:rsidRPr="00854F99">
        <w:t>Entsorgungsphase</w:t>
      </w:r>
    </w:p>
    <w:p w:rsidR="00AE27DC" w:rsidRPr="00DD4DAC" w:rsidRDefault="00AE27DC" w:rsidP="00AE27DC"/>
    <w:p w:rsidR="00F32222" w:rsidRDefault="00F32222" w:rsidP="00F32222">
      <w:r>
        <w:rPr>
          <w:rFonts w:eastAsia="Times New Roman"/>
          <w:spacing w:val="-4"/>
        </w:rPr>
        <w:t xml:space="preserve">Kurze </w:t>
      </w:r>
      <w:r>
        <w:t>Beschreibung des Entsorgungsprozesses und der angenommen Szenarien (z.B. für den Transport)</w:t>
      </w:r>
    </w:p>
    <w:p w:rsidR="00F32222" w:rsidRDefault="00F32222" w:rsidP="00F32222"/>
    <w:p w:rsidR="00F32222" w:rsidRPr="001F6A0B" w:rsidRDefault="00F32222" w:rsidP="00F32222">
      <w:pPr>
        <w:pStyle w:val="Beschriftung"/>
        <w:keepNext/>
        <w:ind w:left="1418" w:hanging="1418"/>
      </w:pPr>
      <w:r w:rsidRPr="001F6A0B">
        <w:t xml:space="preserve">Tabelle </w:t>
      </w:r>
      <w:fldSimple w:instr=" SEQ Tabelle \* ARABIC ">
        <w:r w:rsidR="00380BCC">
          <w:rPr>
            <w:noProof/>
          </w:rPr>
          <w:t>10</w:t>
        </w:r>
      </w:fldSimple>
      <w:r>
        <w:t xml:space="preserve">: </w:t>
      </w:r>
      <w:r w:rsidRPr="001F6A0B">
        <w:t>Beschreibung des Szenarios für „Entsorgung des Produkts (C1 bis C4)“ (</w:t>
      </w:r>
      <w:proofErr w:type="spellStart"/>
      <w:r w:rsidRPr="001F6A0B">
        <w:t>gem</w:t>
      </w:r>
      <w:proofErr w:type="spellEnd"/>
      <w:r w:rsidRPr="001F6A0B">
        <w:t xml:space="preserve"> Tabelle 12 der ÖNORM EN 15804)</w:t>
      </w:r>
    </w:p>
    <w:tbl>
      <w:tblPr>
        <w:tblStyle w:val="Tabellenraster"/>
        <w:tblW w:w="9810" w:type="dxa"/>
        <w:tblInd w:w="108" w:type="dxa"/>
        <w:tblLook w:val="04A0" w:firstRow="1" w:lastRow="0" w:firstColumn="1" w:lastColumn="0" w:noHBand="0" w:noVBand="1"/>
      </w:tblPr>
      <w:tblGrid>
        <w:gridCol w:w="7117"/>
        <w:gridCol w:w="2693"/>
      </w:tblGrid>
      <w:tr w:rsidR="00F32222" w:rsidRPr="0093150A" w:rsidTr="00F32222">
        <w:tc>
          <w:tcPr>
            <w:tcW w:w="7117" w:type="dxa"/>
            <w:shd w:val="clear" w:color="auto" w:fill="8DB3E2" w:themeFill="text2" w:themeFillTint="66"/>
            <w:vAlign w:val="center"/>
          </w:tcPr>
          <w:p w:rsidR="00F32222" w:rsidRPr="003B609C" w:rsidRDefault="00F32222" w:rsidP="008D0D12">
            <w:pPr>
              <w:rPr>
                <w:b/>
                <w:color w:val="000000" w:themeColor="text1"/>
              </w:rPr>
            </w:pPr>
            <w:r w:rsidRPr="003B609C">
              <w:rPr>
                <w:b/>
                <w:color w:val="000000" w:themeColor="text1"/>
              </w:rPr>
              <w:t>Parameter für die Entsorgungsphase (C1-C4)</w:t>
            </w:r>
          </w:p>
        </w:tc>
        <w:tc>
          <w:tcPr>
            <w:tcW w:w="2693" w:type="dxa"/>
            <w:shd w:val="clear" w:color="auto" w:fill="8DB3E2" w:themeFill="text2" w:themeFillTint="66"/>
          </w:tcPr>
          <w:p w:rsidR="00F32222" w:rsidRPr="003B609C" w:rsidRDefault="00F32222" w:rsidP="008D0D12">
            <w:pPr>
              <w:jc w:val="center"/>
              <w:rPr>
                <w:b/>
                <w:color w:val="000000" w:themeColor="text1"/>
              </w:rPr>
            </w:pPr>
            <w:r w:rsidRPr="003B609C">
              <w:rPr>
                <w:b/>
                <w:color w:val="000000" w:themeColor="text1"/>
              </w:rPr>
              <w:t>Messgröße je m</w:t>
            </w:r>
            <w:r w:rsidRPr="003B609C">
              <w:rPr>
                <w:b/>
                <w:color w:val="000000" w:themeColor="text1"/>
                <w:vertAlign w:val="superscript"/>
              </w:rPr>
              <w:t>3</w:t>
            </w:r>
            <w:r w:rsidRPr="003B609C">
              <w:rPr>
                <w:b/>
                <w:color w:val="000000" w:themeColor="text1"/>
              </w:rPr>
              <w:t xml:space="preserve"> Dämmstoff</w:t>
            </w:r>
          </w:p>
        </w:tc>
      </w:tr>
      <w:tr w:rsidR="00F32222" w:rsidRPr="0093150A" w:rsidTr="00F32222">
        <w:tc>
          <w:tcPr>
            <w:tcW w:w="7117" w:type="dxa"/>
            <w:vMerge w:val="restart"/>
            <w:vAlign w:val="center"/>
          </w:tcPr>
          <w:p w:rsidR="00F32222" w:rsidRPr="0093150A" w:rsidRDefault="00F32222" w:rsidP="008D0D12">
            <w:r w:rsidRPr="0093150A">
              <w:t>Sammelverfahren, spezifiziert nach Art</w:t>
            </w:r>
          </w:p>
        </w:tc>
        <w:tc>
          <w:tcPr>
            <w:tcW w:w="2693" w:type="dxa"/>
            <w:vAlign w:val="center"/>
          </w:tcPr>
          <w:p w:rsidR="00F32222" w:rsidRPr="0093150A" w:rsidRDefault="00F32222" w:rsidP="008D0D12">
            <w:r w:rsidRPr="0093150A">
              <w:t xml:space="preserve">kg </w:t>
            </w:r>
            <w:r w:rsidRPr="0093150A">
              <w:rPr>
                <w:vertAlign w:val="subscript"/>
              </w:rPr>
              <w:t>getrennt</w:t>
            </w:r>
          </w:p>
        </w:tc>
      </w:tr>
      <w:tr w:rsidR="00F32222" w:rsidRPr="0093150A" w:rsidTr="00F32222">
        <w:tc>
          <w:tcPr>
            <w:tcW w:w="7117" w:type="dxa"/>
            <w:vMerge/>
            <w:vAlign w:val="center"/>
          </w:tcPr>
          <w:p w:rsidR="00F32222" w:rsidRPr="0093150A" w:rsidRDefault="00F32222" w:rsidP="008D0D12"/>
        </w:tc>
        <w:tc>
          <w:tcPr>
            <w:tcW w:w="2693" w:type="dxa"/>
            <w:vAlign w:val="center"/>
          </w:tcPr>
          <w:p w:rsidR="00F32222" w:rsidRPr="0093150A" w:rsidRDefault="00F32222" w:rsidP="008D0D12">
            <w:r w:rsidRPr="0093150A">
              <w:t>kg</w:t>
            </w:r>
            <w:r w:rsidRPr="0093150A">
              <w:rPr>
                <w:vertAlign w:val="subscript"/>
              </w:rPr>
              <w:t xml:space="preserve"> gemischt</w:t>
            </w:r>
          </w:p>
        </w:tc>
      </w:tr>
      <w:tr w:rsidR="00F32222" w:rsidRPr="0093150A" w:rsidTr="00F32222">
        <w:tc>
          <w:tcPr>
            <w:tcW w:w="7117" w:type="dxa"/>
            <w:vMerge w:val="restart"/>
            <w:vAlign w:val="center"/>
          </w:tcPr>
          <w:p w:rsidR="00F32222" w:rsidRPr="0093150A" w:rsidRDefault="00F32222" w:rsidP="008D0D12">
            <w:r w:rsidRPr="0093150A">
              <w:t>Rückholverfahren, spezifiziert nach Art</w:t>
            </w:r>
          </w:p>
        </w:tc>
        <w:tc>
          <w:tcPr>
            <w:tcW w:w="2693" w:type="dxa"/>
            <w:vAlign w:val="center"/>
          </w:tcPr>
          <w:p w:rsidR="00F32222" w:rsidRPr="0093150A" w:rsidRDefault="00F32222" w:rsidP="008D0D12">
            <w:pPr>
              <w:rPr>
                <w:vertAlign w:val="subscript"/>
              </w:rPr>
            </w:pPr>
            <w:r w:rsidRPr="0093150A">
              <w:t>kg</w:t>
            </w:r>
            <w:r w:rsidRPr="0093150A">
              <w:rPr>
                <w:vertAlign w:val="subscript"/>
              </w:rPr>
              <w:t xml:space="preserve"> Wiederverwendung</w:t>
            </w:r>
          </w:p>
        </w:tc>
      </w:tr>
      <w:tr w:rsidR="00F32222" w:rsidRPr="0093150A" w:rsidTr="00F32222">
        <w:tc>
          <w:tcPr>
            <w:tcW w:w="7117" w:type="dxa"/>
            <w:vMerge/>
            <w:vAlign w:val="center"/>
          </w:tcPr>
          <w:p w:rsidR="00F32222" w:rsidRPr="0093150A" w:rsidRDefault="00F32222" w:rsidP="008D0D12"/>
        </w:tc>
        <w:tc>
          <w:tcPr>
            <w:tcW w:w="2693" w:type="dxa"/>
            <w:vAlign w:val="center"/>
          </w:tcPr>
          <w:p w:rsidR="00F32222" w:rsidRPr="0093150A" w:rsidRDefault="00F32222" w:rsidP="008D0D12">
            <w:pPr>
              <w:rPr>
                <w:vertAlign w:val="subscript"/>
              </w:rPr>
            </w:pPr>
            <w:r w:rsidRPr="0093150A">
              <w:t xml:space="preserve">kg </w:t>
            </w:r>
            <w:r w:rsidRPr="0093150A">
              <w:rPr>
                <w:vertAlign w:val="subscript"/>
              </w:rPr>
              <w:t>Recycling</w:t>
            </w:r>
          </w:p>
        </w:tc>
      </w:tr>
      <w:tr w:rsidR="00F32222" w:rsidRPr="0093150A" w:rsidTr="00F32222">
        <w:tc>
          <w:tcPr>
            <w:tcW w:w="7117" w:type="dxa"/>
            <w:vMerge/>
            <w:vAlign w:val="center"/>
          </w:tcPr>
          <w:p w:rsidR="00F32222" w:rsidRPr="0093150A" w:rsidRDefault="00F32222" w:rsidP="008D0D12"/>
        </w:tc>
        <w:tc>
          <w:tcPr>
            <w:tcW w:w="2693" w:type="dxa"/>
            <w:vAlign w:val="center"/>
          </w:tcPr>
          <w:p w:rsidR="00F32222" w:rsidRPr="0093150A" w:rsidRDefault="00F32222" w:rsidP="008D0D12">
            <w:pPr>
              <w:rPr>
                <w:vertAlign w:val="subscript"/>
              </w:rPr>
            </w:pPr>
            <w:r w:rsidRPr="0093150A">
              <w:t xml:space="preserve">kg </w:t>
            </w:r>
            <w:r w:rsidRPr="0093150A">
              <w:rPr>
                <w:vertAlign w:val="subscript"/>
              </w:rPr>
              <w:t>Energierückgewinnung</w:t>
            </w:r>
          </w:p>
        </w:tc>
      </w:tr>
      <w:tr w:rsidR="00F32222" w:rsidRPr="0093150A" w:rsidTr="00F32222">
        <w:tc>
          <w:tcPr>
            <w:tcW w:w="7117" w:type="dxa"/>
            <w:vAlign w:val="center"/>
          </w:tcPr>
          <w:p w:rsidR="00F32222" w:rsidRPr="0093150A" w:rsidRDefault="00F32222" w:rsidP="008D0D12">
            <w:r w:rsidRPr="0093150A">
              <w:t>Deponierung, spezifiziert nach Art</w:t>
            </w:r>
          </w:p>
        </w:tc>
        <w:tc>
          <w:tcPr>
            <w:tcW w:w="2693" w:type="dxa"/>
            <w:vAlign w:val="center"/>
          </w:tcPr>
          <w:p w:rsidR="00F32222" w:rsidRPr="0093150A" w:rsidRDefault="00F32222" w:rsidP="008D0D12">
            <w:pPr>
              <w:rPr>
                <w:vertAlign w:val="subscript"/>
              </w:rPr>
            </w:pPr>
            <w:r w:rsidRPr="0093150A">
              <w:t xml:space="preserve">kg </w:t>
            </w:r>
            <w:r w:rsidRPr="0093150A">
              <w:rPr>
                <w:vertAlign w:val="subscript"/>
              </w:rPr>
              <w:t>Deponierung</w:t>
            </w:r>
          </w:p>
        </w:tc>
      </w:tr>
    </w:tbl>
    <w:p w:rsidR="00F32222" w:rsidRDefault="00AE27DC" w:rsidP="00AE27DC">
      <w:pPr>
        <w:pStyle w:val="berschrift3"/>
      </w:pPr>
      <w:r>
        <w:t>4.3.6</w:t>
      </w:r>
      <w:r w:rsidR="00153C13">
        <w:tab/>
      </w:r>
      <w:r w:rsidR="00F32222" w:rsidRPr="00854F99">
        <w:t>D Wiederverwendungs- Rückgewinnungs- und Recyclingpotenzial</w:t>
      </w:r>
    </w:p>
    <w:p w:rsidR="00F32222" w:rsidRDefault="00F32222" w:rsidP="00F32222">
      <w:pPr>
        <w:pStyle w:val="StandardAbs"/>
      </w:pPr>
      <w:r>
        <w:rPr>
          <w:spacing w:val="-4"/>
        </w:rPr>
        <w:t xml:space="preserve">Kurze </w:t>
      </w:r>
      <w:r>
        <w:t>Beschreibung der Annahmen zum Wiederverwendungs- Rückgewinnungs- und Recyclingpotenzial</w:t>
      </w:r>
    </w:p>
    <w:p w:rsidR="00E31B89" w:rsidRDefault="00E31B89" w:rsidP="00E31B89"/>
    <w:p w:rsidR="00F32222" w:rsidRPr="001F6A0B" w:rsidRDefault="00F32222" w:rsidP="00F32222">
      <w:pPr>
        <w:pStyle w:val="Beschriftung"/>
        <w:keepNext/>
        <w:ind w:left="1418" w:hanging="1418"/>
      </w:pPr>
      <w:r w:rsidRPr="001F6A0B">
        <w:t xml:space="preserve">Tabelle </w:t>
      </w:r>
      <w:fldSimple w:instr=" SEQ Tabelle \* ARABIC ">
        <w:r w:rsidR="00380BCC">
          <w:rPr>
            <w:noProof/>
          </w:rPr>
          <w:t>11</w:t>
        </w:r>
      </w:fldSimple>
      <w:r>
        <w:t xml:space="preserve">: </w:t>
      </w:r>
      <w:r w:rsidRPr="001F6A0B">
        <w:t>Beschreibung des Szenarios für „</w:t>
      </w:r>
      <w:r w:rsidRPr="001F6A0B">
        <w:rPr>
          <w:rFonts w:eastAsia="Times New Roman"/>
        </w:rPr>
        <w:t>Wiederverwendungs-</w:t>
      </w:r>
      <w:r>
        <w:rPr>
          <w:rFonts w:eastAsia="Times New Roman"/>
        </w:rPr>
        <w:t>,</w:t>
      </w:r>
      <w:r w:rsidRPr="001F6A0B">
        <w:rPr>
          <w:rFonts w:eastAsia="Times New Roman"/>
        </w:rPr>
        <w:t xml:space="preserve"> Rückgewinnungs- und Recyclingpotenzial</w:t>
      </w:r>
      <w:r w:rsidRPr="001F6A0B">
        <w:t xml:space="preserve"> (D)“</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2633"/>
      </w:tblGrid>
      <w:tr w:rsidR="00F32222" w:rsidRPr="00666942" w:rsidTr="008D0D12">
        <w:tc>
          <w:tcPr>
            <w:tcW w:w="666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rsidR="00F32222" w:rsidRPr="003B609C" w:rsidRDefault="00F32222" w:rsidP="008D0D12">
            <w:pPr>
              <w:pBdr>
                <w:top w:val="nil"/>
                <w:left w:val="nil"/>
                <w:bottom w:val="nil"/>
                <w:right w:val="nil"/>
                <w:between w:val="nil"/>
                <w:bar w:val="nil"/>
              </w:pBdr>
              <w:ind w:left="147"/>
              <w:rPr>
                <w:rFonts w:eastAsia="Times New Roman" w:cs="Times New Roman"/>
                <w:b/>
                <w:color w:val="000000" w:themeColor="text1"/>
              </w:rPr>
            </w:pPr>
            <w:r w:rsidRPr="003B609C">
              <w:rPr>
                <w:b/>
                <w:color w:val="000000" w:themeColor="text1"/>
              </w:rPr>
              <w:t>Parameter für das Modul (D)</w:t>
            </w:r>
          </w:p>
        </w:tc>
        <w:tc>
          <w:tcPr>
            <w:tcW w:w="240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tcPr>
          <w:p w:rsidR="00F32222" w:rsidRPr="003B609C" w:rsidRDefault="00F32222" w:rsidP="008D0D12">
            <w:pPr>
              <w:ind w:left="147"/>
              <w:jc w:val="center"/>
              <w:rPr>
                <w:b/>
                <w:color w:val="000000" w:themeColor="text1"/>
              </w:rPr>
            </w:pPr>
            <w:r w:rsidRPr="003B609C">
              <w:rPr>
                <w:b/>
                <w:color w:val="000000" w:themeColor="text1"/>
              </w:rPr>
              <w:t>Messgröße je m</w:t>
            </w:r>
            <w:r w:rsidRPr="003B609C">
              <w:rPr>
                <w:b/>
                <w:color w:val="000000" w:themeColor="text1"/>
                <w:vertAlign w:val="superscript"/>
              </w:rPr>
              <w:t>3</w:t>
            </w:r>
            <w:r w:rsidRPr="003B609C">
              <w:rPr>
                <w:b/>
                <w:color w:val="000000" w:themeColor="text1"/>
              </w:rPr>
              <w:t xml:space="preserve"> Dämmstoff</w:t>
            </w:r>
          </w:p>
        </w:tc>
      </w:tr>
      <w:tr w:rsidR="00F32222" w:rsidRPr="00374C11" w:rsidTr="008D0D12">
        <w:tc>
          <w:tcPr>
            <w:tcW w:w="66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rPr>
                <w:rFonts w:eastAsia="Times New Roman"/>
                <w:b/>
                <w:bCs/>
              </w:rPr>
            </w:pPr>
            <w:r>
              <w:rPr>
                <w:rFonts w:eastAsia="Times New Roman"/>
                <w:spacing w:val="-4"/>
              </w:rPr>
              <w:t>Materialien für Wiederverwendung oder Recycling aus A4-A5</w:t>
            </w:r>
          </w:p>
        </w:tc>
        <w:tc>
          <w:tcPr>
            <w:tcW w:w="240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jc w:val="center"/>
              <w:rPr>
                <w:rFonts w:eastAsia="Times New Roman"/>
                <w:spacing w:val="-4"/>
              </w:rPr>
            </w:pPr>
            <w:r w:rsidRPr="00374C11">
              <w:rPr>
                <w:rFonts w:eastAsia="Times New Roman"/>
              </w:rPr>
              <w:t>kg</w:t>
            </w:r>
          </w:p>
        </w:tc>
      </w:tr>
      <w:tr w:rsidR="00F32222" w:rsidRPr="00374C11" w:rsidTr="008D0D12">
        <w:tc>
          <w:tcPr>
            <w:tcW w:w="66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B63B6F" w:rsidRDefault="00F32222" w:rsidP="008D0D12">
            <w:pPr>
              <w:pBdr>
                <w:top w:val="nil"/>
                <w:left w:val="nil"/>
                <w:bottom w:val="nil"/>
                <w:right w:val="nil"/>
                <w:between w:val="nil"/>
                <w:bar w:val="nil"/>
              </w:pBdr>
              <w:ind w:left="147"/>
              <w:rPr>
                <w:rFonts w:eastAsia="Times New Roman"/>
                <w:b/>
                <w:bCs/>
              </w:rPr>
            </w:pPr>
            <w:r w:rsidRPr="00B63B6F">
              <w:rPr>
                <w:rFonts w:eastAsia="Times New Roman"/>
                <w:spacing w:val="-4"/>
              </w:rPr>
              <w:t>Materialien für Wiede</w:t>
            </w:r>
            <w:r>
              <w:rPr>
                <w:rFonts w:eastAsia="Times New Roman"/>
                <w:spacing w:val="-4"/>
              </w:rPr>
              <w:t>rverwendung oder Recycling aus B2</w:t>
            </w:r>
            <w:r w:rsidRPr="00B63B6F">
              <w:rPr>
                <w:rFonts w:eastAsia="Times New Roman"/>
                <w:spacing w:val="-4"/>
              </w:rPr>
              <w:t>-</w:t>
            </w:r>
            <w:r>
              <w:rPr>
                <w:rFonts w:eastAsia="Times New Roman"/>
                <w:spacing w:val="-4"/>
              </w:rPr>
              <w:t>B</w:t>
            </w:r>
            <w:r w:rsidRPr="00B63B6F">
              <w:rPr>
                <w:rFonts w:eastAsia="Times New Roman"/>
                <w:spacing w:val="-4"/>
              </w:rPr>
              <w:t>5</w:t>
            </w:r>
          </w:p>
        </w:tc>
        <w:tc>
          <w:tcPr>
            <w:tcW w:w="240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jc w:val="center"/>
              <w:rPr>
                <w:rFonts w:eastAsia="Times New Roman"/>
                <w:spacing w:val="-4"/>
              </w:rPr>
            </w:pPr>
            <w:r w:rsidRPr="00374C11">
              <w:rPr>
                <w:rFonts w:eastAsia="Times New Roman"/>
              </w:rPr>
              <w:t>kg</w:t>
            </w:r>
          </w:p>
        </w:tc>
      </w:tr>
      <w:tr w:rsidR="00F32222" w:rsidRPr="00374C11" w:rsidTr="008D0D12">
        <w:tc>
          <w:tcPr>
            <w:tcW w:w="66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B63B6F" w:rsidRDefault="00F32222" w:rsidP="008D0D12">
            <w:pPr>
              <w:pBdr>
                <w:top w:val="nil"/>
                <w:left w:val="nil"/>
                <w:bottom w:val="nil"/>
                <w:right w:val="nil"/>
                <w:between w:val="nil"/>
                <w:bar w:val="nil"/>
              </w:pBdr>
              <w:ind w:left="147"/>
              <w:rPr>
                <w:rFonts w:eastAsia="Times New Roman"/>
              </w:rPr>
            </w:pPr>
            <w:r w:rsidRPr="00B63B6F">
              <w:rPr>
                <w:rFonts w:eastAsia="Times New Roman"/>
                <w:spacing w:val="-4"/>
              </w:rPr>
              <w:t xml:space="preserve">Materialien für Wiederverwendung oder Recycling aus </w:t>
            </w:r>
            <w:r>
              <w:rPr>
                <w:rFonts w:eastAsia="Times New Roman"/>
                <w:spacing w:val="-4"/>
              </w:rPr>
              <w:t>C1-C4</w:t>
            </w:r>
          </w:p>
        </w:tc>
        <w:tc>
          <w:tcPr>
            <w:tcW w:w="240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32222" w:rsidRPr="00374C11" w:rsidRDefault="00F32222" w:rsidP="008D0D12">
            <w:pPr>
              <w:pBdr>
                <w:top w:val="nil"/>
                <w:left w:val="nil"/>
                <w:bottom w:val="nil"/>
                <w:right w:val="nil"/>
                <w:between w:val="nil"/>
                <w:bar w:val="nil"/>
              </w:pBdr>
              <w:ind w:left="147"/>
              <w:jc w:val="center"/>
              <w:rPr>
                <w:rFonts w:eastAsia="Times New Roman"/>
                <w:spacing w:val="-4"/>
              </w:rPr>
            </w:pPr>
            <w:r w:rsidRPr="00374C11">
              <w:rPr>
                <w:rFonts w:eastAsia="Times New Roman"/>
              </w:rPr>
              <w:t>kg</w:t>
            </w:r>
          </w:p>
        </w:tc>
      </w:tr>
    </w:tbl>
    <w:p w:rsidR="00F32222" w:rsidRPr="0082491A" w:rsidRDefault="00F32222" w:rsidP="00F32222">
      <w:pPr>
        <w:pStyle w:val="KapitelUeberschrift2"/>
      </w:pPr>
      <w:r w:rsidRPr="0082491A">
        <w:t>Flussdiagramm der Prozesse im Lebenszyklus</w:t>
      </w:r>
    </w:p>
    <w:p w:rsidR="00F32222" w:rsidRDefault="00F32222" w:rsidP="00F32222">
      <w:r w:rsidRPr="007E2560">
        <w:t>Um das untersuchte Produktsystem zu illustrieren, muss die EPD ein einfaches Flussdiagramm der Prozesse enthalten, die in der Ökobilanz behandelt werden. Diese müssen mindestens in die Phasen des Lebenszyklus des Produkts unterteilt sein: Herstellung und, wenn zutreffend, Errichtung</w:t>
      </w:r>
      <w:r w:rsidR="003853FB">
        <w:t xml:space="preserve"> (Einbau)</w:t>
      </w:r>
      <w:r w:rsidRPr="007E2560">
        <w:t>, Nutzung und Entsorgung. Die Phasen können auch weiter unterteilt werden.</w:t>
      </w:r>
    </w:p>
    <w:p w:rsidR="00F36433" w:rsidRPr="004207C1" w:rsidRDefault="00F36433" w:rsidP="00002441"/>
    <w:p w:rsidR="00900236" w:rsidRDefault="00900236" w:rsidP="00F36433">
      <w:pPr>
        <w:pStyle w:val="berschrift2"/>
      </w:pPr>
      <w:bookmarkStart w:id="40" w:name="_Toc391985063"/>
      <w:r w:rsidRPr="00F72A9A">
        <w:t>Deklaration der Umweltindikatoren</w:t>
      </w:r>
      <w:bookmarkEnd w:id="40"/>
    </w:p>
    <w:p w:rsidR="00F36433" w:rsidRPr="00F36433" w:rsidRDefault="00F36433" w:rsidP="00F36433"/>
    <w:p w:rsidR="0002418F" w:rsidRDefault="00DF5E75" w:rsidP="00FB5D78">
      <w:r w:rsidRPr="00DF5E75">
        <w:t xml:space="preserve">Die Deklaration der Umweltindikatoren ist entsprechend der deklarierten Lebenszyklusphasen in folgenden Tabellen aufzulisten. </w:t>
      </w:r>
      <w:r w:rsidR="00BA04FB" w:rsidRPr="00DF5E75">
        <w:t xml:space="preserve">Die Zahlenwerte </w:t>
      </w:r>
      <w:r w:rsidRPr="00DF5E75">
        <w:t>sind</w:t>
      </w:r>
      <w:r w:rsidR="00BA04FB" w:rsidRPr="00DF5E75">
        <w:t xml:space="preserve"> mit drei gültigen Stellen anzugeben</w:t>
      </w:r>
      <w:r w:rsidRPr="00DF5E75">
        <w:t xml:space="preserve">, </w:t>
      </w:r>
      <w:r w:rsidR="00BA04FB" w:rsidRPr="00DF5E75">
        <w:t xml:space="preserve">ggf. in </w:t>
      </w:r>
      <w:r w:rsidR="009C0C73" w:rsidRPr="00DF5E75">
        <w:t>e</w:t>
      </w:r>
      <w:r w:rsidR="00BA04FB" w:rsidRPr="00DF5E75">
        <w:t xml:space="preserve">xponentieller Darstellung (Bsp. 1,23E-5 = 0,0000123). Je Wirkungsindikator </w:t>
      </w:r>
      <w:r w:rsidRPr="00DF5E75">
        <w:t>muss</w:t>
      </w:r>
      <w:r w:rsidR="00BA04FB" w:rsidRPr="00DF5E75">
        <w:t xml:space="preserve"> ein einheitliches Zahlenformat </w:t>
      </w:r>
      <w:r w:rsidR="00E47DA5">
        <w:t>gewählt werden.</w:t>
      </w:r>
      <w:r w:rsidR="00666942" w:rsidRPr="00666942">
        <w:t xml:space="preserve"> </w:t>
      </w:r>
      <w:r w:rsidR="00666942" w:rsidRPr="006260DF">
        <w:t>Werden Module nicht deklariert so ist in der entsprechenden Spalte MND zu vermerken.</w:t>
      </w:r>
    </w:p>
    <w:bookmarkEnd w:id="39"/>
    <w:p w:rsidR="000224B7" w:rsidRPr="00DF5E75" w:rsidRDefault="000224B7" w:rsidP="000224B7"/>
    <w:p w:rsidR="000224B7" w:rsidRPr="005E4D75" w:rsidRDefault="000224B7" w:rsidP="000224B7">
      <w:pPr>
        <w:pStyle w:val="Beschriftung"/>
        <w:keepNext/>
        <w:rPr>
          <w:color w:val="17365D" w:themeColor="text2" w:themeShade="BF"/>
        </w:rPr>
      </w:pPr>
      <w:r w:rsidRPr="005E4D75">
        <w:rPr>
          <w:color w:val="17365D" w:themeColor="text2" w:themeShade="BF"/>
        </w:rPr>
        <w:t xml:space="preserve">Tabelle </w:t>
      </w:r>
      <w:r w:rsidR="008F14A7" w:rsidRPr="005E4D75">
        <w:rPr>
          <w:color w:val="17365D" w:themeColor="text2" w:themeShade="BF"/>
        </w:rPr>
        <w:fldChar w:fldCharType="begin"/>
      </w:r>
      <w:r w:rsidRPr="005E4D75">
        <w:rPr>
          <w:color w:val="17365D" w:themeColor="text2" w:themeShade="BF"/>
        </w:rPr>
        <w:instrText xml:space="preserve"> SEQ Tabelle \* ARABIC </w:instrText>
      </w:r>
      <w:r w:rsidR="008F14A7" w:rsidRPr="005E4D75">
        <w:rPr>
          <w:color w:val="17365D" w:themeColor="text2" w:themeShade="BF"/>
        </w:rPr>
        <w:fldChar w:fldCharType="separate"/>
      </w:r>
      <w:r w:rsidR="00380BCC">
        <w:rPr>
          <w:noProof/>
          <w:color w:val="17365D" w:themeColor="text2" w:themeShade="BF"/>
        </w:rPr>
        <w:t>12</w:t>
      </w:r>
      <w:r w:rsidR="008F14A7" w:rsidRPr="005E4D75">
        <w:rPr>
          <w:color w:val="17365D" w:themeColor="text2" w:themeShade="BF"/>
        </w:rPr>
        <w:fldChar w:fldCharType="end"/>
      </w:r>
      <w:r w:rsidRPr="005E4D75">
        <w:rPr>
          <w:color w:val="17365D" w:themeColor="text2" w:themeShade="BF"/>
        </w:rPr>
        <w:t>: Parameter zur Beschreibung der Wirkungsabschätzung</w:t>
      </w:r>
    </w:p>
    <w:tbl>
      <w:tblPr>
        <w:tblStyle w:val="Tabellenraster"/>
        <w:tblW w:w="9923" w:type="dxa"/>
        <w:tblInd w:w="108" w:type="dxa"/>
        <w:tblLayout w:type="fixed"/>
        <w:tblCellMar>
          <w:top w:w="28" w:type="dxa"/>
          <w:bottom w:w="28" w:type="dxa"/>
        </w:tblCellMar>
        <w:tblLook w:val="04A0" w:firstRow="1" w:lastRow="0" w:firstColumn="1" w:lastColumn="0" w:noHBand="0" w:noVBand="1"/>
      </w:tblPr>
      <w:tblGrid>
        <w:gridCol w:w="851"/>
        <w:gridCol w:w="1701"/>
        <w:gridCol w:w="567"/>
        <w:gridCol w:w="567"/>
        <w:gridCol w:w="567"/>
        <w:gridCol w:w="567"/>
        <w:gridCol w:w="567"/>
        <w:gridCol w:w="567"/>
        <w:gridCol w:w="567"/>
        <w:gridCol w:w="567"/>
        <w:gridCol w:w="567"/>
        <w:gridCol w:w="567"/>
        <w:gridCol w:w="567"/>
        <w:gridCol w:w="567"/>
        <w:gridCol w:w="567"/>
      </w:tblGrid>
      <w:tr w:rsidR="000224B7" w:rsidRPr="007E0AEC" w:rsidTr="000224B7">
        <w:tc>
          <w:tcPr>
            <w:tcW w:w="851" w:type="dxa"/>
            <w:shd w:val="clear" w:color="auto" w:fill="8DB3E2" w:themeFill="text2" w:themeFillTint="66"/>
          </w:tcPr>
          <w:p w:rsidR="000224B7" w:rsidRPr="004619BB" w:rsidRDefault="000224B7" w:rsidP="00886F5A">
            <w:pPr>
              <w:rPr>
                <w:b/>
              </w:rPr>
            </w:pPr>
            <w:r w:rsidRPr="004619BB">
              <w:rPr>
                <w:b/>
              </w:rPr>
              <w:t>Para</w:t>
            </w:r>
            <w:r>
              <w:rPr>
                <w:b/>
              </w:rPr>
              <w:t>-</w:t>
            </w:r>
            <w:r w:rsidRPr="004619BB">
              <w:rPr>
                <w:b/>
              </w:rPr>
              <w:t>meter</w:t>
            </w:r>
          </w:p>
        </w:tc>
        <w:tc>
          <w:tcPr>
            <w:tcW w:w="1701" w:type="dxa"/>
            <w:shd w:val="clear" w:color="auto" w:fill="8DB3E2" w:themeFill="text2" w:themeFillTint="66"/>
          </w:tcPr>
          <w:p w:rsidR="000224B7" w:rsidRPr="004619BB" w:rsidRDefault="000224B7" w:rsidP="00886F5A">
            <w:pPr>
              <w:rPr>
                <w:b/>
              </w:rPr>
            </w:pPr>
            <w:r w:rsidRPr="004619BB">
              <w:rPr>
                <w:b/>
              </w:rPr>
              <w:t>Einheit</w:t>
            </w:r>
          </w:p>
        </w:tc>
        <w:tc>
          <w:tcPr>
            <w:tcW w:w="567" w:type="dxa"/>
            <w:shd w:val="clear" w:color="auto" w:fill="8DB3E2" w:themeFill="text2" w:themeFillTint="66"/>
          </w:tcPr>
          <w:p w:rsidR="000224B7" w:rsidRPr="004619BB" w:rsidRDefault="000224B7" w:rsidP="00886F5A">
            <w:pPr>
              <w:rPr>
                <w:b/>
              </w:rPr>
            </w:pPr>
            <w:r w:rsidRPr="004619BB">
              <w:rPr>
                <w:b/>
              </w:rPr>
              <w:t>A1-A3</w:t>
            </w:r>
          </w:p>
        </w:tc>
        <w:tc>
          <w:tcPr>
            <w:tcW w:w="567" w:type="dxa"/>
            <w:shd w:val="clear" w:color="auto" w:fill="8DB3E2" w:themeFill="text2" w:themeFillTint="66"/>
          </w:tcPr>
          <w:p w:rsidR="000224B7" w:rsidRPr="004619BB" w:rsidRDefault="000224B7" w:rsidP="00886F5A">
            <w:pPr>
              <w:rPr>
                <w:b/>
              </w:rPr>
            </w:pPr>
            <w:r w:rsidRPr="004619BB">
              <w:rPr>
                <w:b/>
              </w:rPr>
              <w:t>A4</w:t>
            </w:r>
          </w:p>
        </w:tc>
        <w:tc>
          <w:tcPr>
            <w:tcW w:w="567" w:type="dxa"/>
            <w:shd w:val="clear" w:color="auto" w:fill="8DB3E2" w:themeFill="text2" w:themeFillTint="66"/>
          </w:tcPr>
          <w:p w:rsidR="000224B7" w:rsidRPr="004619BB" w:rsidRDefault="000224B7" w:rsidP="00886F5A">
            <w:pPr>
              <w:rPr>
                <w:b/>
              </w:rPr>
            </w:pPr>
            <w:r w:rsidRPr="004619BB">
              <w:rPr>
                <w:b/>
              </w:rPr>
              <w:t>A5</w:t>
            </w:r>
          </w:p>
        </w:tc>
        <w:tc>
          <w:tcPr>
            <w:tcW w:w="567" w:type="dxa"/>
            <w:shd w:val="clear" w:color="auto" w:fill="8DB3E2" w:themeFill="text2" w:themeFillTint="66"/>
          </w:tcPr>
          <w:p w:rsidR="000224B7" w:rsidRPr="004619BB" w:rsidRDefault="000224B7" w:rsidP="00886F5A">
            <w:pPr>
              <w:rPr>
                <w:b/>
              </w:rPr>
            </w:pPr>
            <w:r w:rsidRPr="004619BB">
              <w:rPr>
                <w:b/>
              </w:rPr>
              <w:t>B1</w:t>
            </w:r>
          </w:p>
        </w:tc>
        <w:tc>
          <w:tcPr>
            <w:tcW w:w="567" w:type="dxa"/>
            <w:shd w:val="clear" w:color="auto" w:fill="8DB3E2" w:themeFill="text2" w:themeFillTint="66"/>
          </w:tcPr>
          <w:p w:rsidR="000224B7" w:rsidRPr="004619BB" w:rsidRDefault="000224B7" w:rsidP="00886F5A">
            <w:pPr>
              <w:rPr>
                <w:b/>
              </w:rPr>
            </w:pPr>
            <w:r w:rsidRPr="004619BB">
              <w:rPr>
                <w:b/>
              </w:rPr>
              <w:t>B2</w:t>
            </w:r>
          </w:p>
        </w:tc>
        <w:tc>
          <w:tcPr>
            <w:tcW w:w="567" w:type="dxa"/>
            <w:shd w:val="clear" w:color="auto" w:fill="8DB3E2" w:themeFill="text2" w:themeFillTint="66"/>
          </w:tcPr>
          <w:p w:rsidR="000224B7" w:rsidRPr="004619BB" w:rsidRDefault="000224B7" w:rsidP="00886F5A">
            <w:pPr>
              <w:rPr>
                <w:b/>
              </w:rPr>
            </w:pPr>
            <w:r w:rsidRPr="004619BB">
              <w:rPr>
                <w:b/>
              </w:rPr>
              <w:t>B5</w:t>
            </w:r>
          </w:p>
        </w:tc>
        <w:tc>
          <w:tcPr>
            <w:tcW w:w="567" w:type="dxa"/>
            <w:shd w:val="clear" w:color="auto" w:fill="8DB3E2" w:themeFill="text2" w:themeFillTint="66"/>
          </w:tcPr>
          <w:p w:rsidR="000224B7" w:rsidRPr="004619BB" w:rsidRDefault="000224B7" w:rsidP="00886F5A">
            <w:pPr>
              <w:rPr>
                <w:b/>
              </w:rPr>
            </w:pPr>
            <w:r w:rsidRPr="004619BB">
              <w:rPr>
                <w:b/>
              </w:rPr>
              <w:t>B6</w:t>
            </w:r>
          </w:p>
        </w:tc>
        <w:tc>
          <w:tcPr>
            <w:tcW w:w="567" w:type="dxa"/>
            <w:shd w:val="clear" w:color="auto" w:fill="8DB3E2" w:themeFill="text2" w:themeFillTint="66"/>
          </w:tcPr>
          <w:p w:rsidR="000224B7" w:rsidRPr="004619BB" w:rsidRDefault="000224B7" w:rsidP="00886F5A">
            <w:pPr>
              <w:rPr>
                <w:b/>
              </w:rPr>
            </w:pPr>
            <w:r w:rsidRPr="004619BB">
              <w:rPr>
                <w:b/>
              </w:rPr>
              <w:t>B7</w:t>
            </w:r>
          </w:p>
        </w:tc>
        <w:tc>
          <w:tcPr>
            <w:tcW w:w="567" w:type="dxa"/>
            <w:shd w:val="clear" w:color="auto" w:fill="8DB3E2" w:themeFill="text2" w:themeFillTint="66"/>
          </w:tcPr>
          <w:p w:rsidR="000224B7" w:rsidRPr="004619BB" w:rsidRDefault="000224B7" w:rsidP="00886F5A">
            <w:pPr>
              <w:rPr>
                <w:b/>
              </w:rPr>
            </w:pPr>
            <w:r w:rsidRPr="004619BB">
              <w:rPr>
                <w:b/>
              </w:rPr>
              <w:t>C1</w:t>
            </w:r>
          </w:p>
        </w:tc>
        <w:tc>
          <w:tcPr>
            <w:tcW w:w="567" w:type="dxa"/>
            <w:shd w:val="clear" w:color="auto" w:fill="8DB3E2" w:themeFill="text2" w:themeFillTint="66"/>
          </w:tcPr>
          <w:p w:rsidR="000224B7" w:rsidRPr="004619BB" w:rsidRDefault="000224B7" w:rsidP="00886F5A">
            <w:pPr>
              <w:rPr>
                <w:b/>
              </w:rPr>
            </w:pPr>
            <w:r w:rsidRPr="004619BB">
              <w:rPr>
                <w:b/>
              </w:rPr>
              <w:t>C2</w:t>
            </w:r>
          </w:p>
        </w:tc>
        <w:tc>
          <w:tcPr>
            <w:tcW w:w="567" w:type="dxa"/>
            <w:shd w:val="clear" w:color="auto" w:fill="8DB3E2" w:themeFill="text2" w:themeFillTint="66"/>
          </w:tcPr>
          <w:p w:rsidR="000224B7" w:rsidRPr="004619BB" w:rsidRDefault="000224B7" w:rsidP="00886F5A">
            <w:pPr>
              <w:rPr>
                <w:b/>
              </w:rPr>
            </w:pPr>
            <w:r w:rsidRPr="004619BB">
              <w:rPr>
                <w:b/>
              </w:rPr>
              <w:t>C3</w:t>
            </w:r>
          </w:p>
        </w:tc>
        <w:tc>
          <w:tcPr>
            <w:tcW w:w="567" w:type="dxa"/>
            <w:shd w:val="clear" w:color="auto" w:fill="8DB3E2" w:themeFill="text2" w:themeFillTint="66"/>
          </w:tcPr>
          <w:p w:rsidR="000224B7" w:rsidRPr="004619BB" w:rsidRDefault="000224B7" w:rsidP="00886F5A">
            <w:pPr>
              <w:rPr>
                <w:b/>
              </w:rPr>
            </w:pPr>
            <w:r w:rsidRPr="004619BB">
              <w:rPr>
                <w:b/>
              </w:rPr>
              <w:t>C4</w:t>
            </w:r>
          </w:p>
        </w:tc>
        <w:tc>
          <w:tcPr>
            <w:tcW w:w="567" w:type="dxa"/>
            <w:shd w:val="clear" w:color="auto" w:fill="8DB3E2" w:themeFill="text2" w:themeFillTint="66"/>
          </w:tcPr>
          <w:p w:rsidR="000224B7" w:rsidRPr="004619BB" w:rsidRDefault="000224B7" w:rsidP="00886F5A">
            <w:pPr>
              <w:rPr>
                <w:b/>
              </w:rPr>
            </w:pPr>
            <w:r w:rsidRPr="004619BB">
              <w:rPr>
                <w:b/>
              </w:rPr>
              <w:t>D</w:t>
            </w:r>
          </w:p>
        </w:tc>
      </w:tr>
      <w:tr w:rsidR="000224B7" w:rsidRPr="007E0AEC" w:rsidTr="000224B7">
        <w:tc>
          <w:tcPr>
            <w:tcW w:w="851" w:type="dxa"/>
          </w:tcPr>
          <w:p w:rsidR="000224B7" w:rsidRPr="007E0AEC" w:rsidRDefault="000224B7" w:rsidP="00886F5A">
            <w:r w:rsidRPr="007E0AEC">
              <w:t>GWP</w:t>
            </w:r>
          </w:p>
        </w:tc>
        <w:tc>
          <w:tcPr>
            <w:tcW w:w="1701" w:type="dxa"/>
          </w:tcPr>
          <w:p w:rsidR="000224B7" w:rsidRPr="007E0AEC" w:rsidRDefault="000224B7" w:rsidP="00886F5A">
            <w:r w:rsidRPr="007E0AEC">
              <w:t>kg CO</w:t>
            </w:r>
            <w:r w:rsidRPr="007E0AEC">
              <w:rPr>
                <w:vertAlign w:val="subscript"/>
              </w:rPr>
              <w:t>2</w:t>
            </w:r>
            <w:r w:rsidRPr="007E0AEC">
              <w:t xml:space="preserve"> </w:t>
            </w:r>
            <w:proofErr w:type="spellStart"/>
            <w:r w:rsidRPr="007E0AEC">
              <w:t>äquiv</w:t>
            </w:r>
            <w:proofErr w:type="spellEnd"/>
          </w:p>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r w:rsidR="000224B7" w:rsidRPr="007E0AEC" w:rsidTr="000224B7">
        <w:tc>
          <w:tcPr>
            <w:tcW w:w="851" w:type="dxa"/>
          </w:tcPr>
          <w:p w:rsidR="000224B7" w:rsidRPr="007E0AEC" w:rsidRDefault="000224B7" w:rsidP="00886F5A">
            <w:r w:rsidRPr="007E0AEC">
              <w:t>ODP</w:t>
            </w:r>
          </w:p>
        </w:tc>
        <w:tc>
          <w:tcPr>
            <w:tcW w:w="1701" w:type="dxa"/>
          </w:tcPr>
          <w:p w:rsidR="000224B7" w:rsidRPr="007E0AEC" w:rsidRDefault="000224B7" w:rsidP="00886F5A">
            <w:r w:rsidRPr="007E0AEC">
              <w:t xml:space="preserve">kg CFC-11 </w:t>
            </w:r>
            <w:proofErr w:type="spellStart"/>
            <w:r w:rsidRPr="007E0AEC">
              <w:t>äquiv</w:t>
            </w:r>
            <w:proofErr w:type="spellEnd"/>
          </w:p>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r w:rsidR="000224B7" w:rsidRPr="007E0AEC" w:rsidTr="000224B7">
        <w:tc>
          <w:tcPr>
            <w:tcW w:w="851" w:type="dxa"/>
          </w:tcPr>
          <w:p w:rsidR="000224B7" w:rsidRPr="007E0AEC" w:rsidRDefault="000224B7" w:rsidP="00886F5A">
            <w:r w:rsidRPr="007E0AEC">
              <w:t>AP</w:t>
            </w:r>
          </w:p>
        </w:tc>
        <w:tc>
          <w:tcPr>
            <w:tcW w:w="1701" w:type="dxa"/>
          </w:tcPr>
          <w:p w:rsidR="000224B7" w:rsidRPr="007E0AEC" w:rsidRDefault="000224B7" w:rsidP="00886F5A">
            <w:r w:rsidRPr="007E0AEC">
              <w:t>k</w:t>
            </w:r>
            <w:r w:rsidRPr="007E0AEC">
              <w:rPr>
                <w:lang w:val="en-GB"/>
              </w:rPr>
              <w:t>g SO</w:t>
            </w:r>
            <w:r w:rsidRPr="007E0AEC">
              <w:rPr>
                <w:vertAlign w:val="subscript"/>
                <w:lang w:val="en-GB"/>
              </w:rPr>
              <w:t>2</w:t>
            </w:r>
            <w:r w:rsidRPr="007E0AEC">
              <w:rPr>
                <w:lang w:val="en-GB"/>
              </w:rPr>
              <w:t xml:space="preserve"> </w:t>
            </w:r>
            <w:proofErr w:type="spellStart"/>
            <w:r w:rsidRPr="007E0AEC">
              <w:rPr>
                <w:lang w:val="en-GB"/>
              </w:rPr>
              <w:t>äquiv</w:t>
            </w:r>
            <w:proofErr w:type="spellEnd"/>
          </w:p>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r w:rsidR="000224B7" w:rsidRPr="007E0AEC" w:rsidTr="000224B7">
        <w:tc>
          <w:tcPr>
            <w:tcW w:w="851" w:type="dxa"/>
          </w:tcPr>
          <w:p w:rsidR="000224B7" w:rsidRPr="007E0AEC" w:rsidRDefault="000224B7" w:rsidP="00886F5A">
            <w:r w:rsidRPr="007E0AEC">
              <w:t>EP</w:t>
            </w:r>
          </w:p>
        </w:tc>
        <w:tc>
          <w:tcPr>
            <w:tcW w:w="1701" w:type="dxa"/>
          </w:tcPr>
          <w:p w:rsidR="000224B7" w:rsidRPr="007E0AEC" w:rsidRDefault="000224B7" w:rsidP="00886F5A">
            <w:r w:rsidRPr="007E0AEC">
              <w:rPr>
                <w:lang w:val="en-GB"/>
              </w:rPr>
              <w:t>kg PO</w:t>
            </w:r>
            <w:r w:rsidRPr="007E0AEC">
              <w:rPr>
                <w:vertAlign w:val="subscript"/>
                <w:lang w:val="en-GB"/>
              </w:rPr>
              <w:t>4</w:t>
            </w:r>
            <w:r w:rsidRPr="007E0AEC">
              <w:rPr>
                <w:vertAlign w:val="superscript"/>
                <w:lang w:val="en-GB"/>
              </w:rPr>
              <w:t>3-</w:t>
            </w:r>
            <w:r w:rsidRPr="007E0AEC">
              <w:rPr>
                <w:lang w:val="en-GB"/>
              </w:rPr>
              <w:t xml:space="preserve"> </w:t>
            </w:r>
            <w:proofErr w:type="spellStart"/>
            <w:r w:rsidRPr="007E0AEC">
              <w:rPr>
                <w:lang w:val="en-GB"/>
              </w:rPr>
              <w:t>äquiv</w:t>
            </w:r>
            <w:proofErr w:type="spellEnd"/>
          </w:p>
        </w:tc>
        <w:tc>
          <w:tcPr>
            <w:tcW w:w="567" w:type="dxa"/>
          </w:tcPr>
          <w:p w:rsidR="000224B7" w:rsidRPr="007E0AEC" w:rsidRDefault="000224B7" w:rsidP="00886F5A"/>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r>
      <w:tr w:rsidR="000224B7" w:rsidRPr="007E0AEC" w:rsidTr="000224B7">
        <w:tc>
          <w:tcPr>
            <w:tcW w:w="851" w:type="dxa"/>
          </w:tcPr>
          <w:p w:rsidR="000224B7" w:rsidRPr="007E0AEC" w:rsidRDefault="000224B7" w:rsidP="00886F5A">
            <w:r w:rsidRPr="007E0AEC">
              <w:t>POCP</w:t>
            </w:r>
          </w:p>
        </w:tc>
        <w:tc>
          <w:tcPr>
            <w:tcW w:w="1701" w:type="dxa"/>
          </w:tcPr>
          <w:p w:rsidR="000224B7" w:rsidRPr="007E0AEC" w:rsidRDefault="000224B7" w:rsidP="00886F5A">
            <w:r w:rsidRPr="007E0AEC">
              <w:rPr>
                <w:lang w:val="en-GB"/>
              </w:rPr>
              <w:t>kg C</w:t>
            </w:r>
            <w:r w:rsidRPr="007E0AEC">
              <w:rPr>
                <w:vertAlign w:val="subscript"/>
                <w:lang w:val="en-GB"/>
              </w:rPr>
              <w:t>2</w:t>
            </w:r>
            <w:r w:rsidRPr="007E0AEC">
              <w:rPr>
                <w:lang w:val="en-GB"/>
              </w:rPr>
              <w:t>H</w:t>
            </w:r>
            <w:r w:rsidRPr="007E0AEC">
              <w:rPr>
                <w:vertAlign w:val="subscript"/>
                <w:lang w:val="en-GB"/>
              </w:rPr>
              <w:t>4</w:t>
            </w:r>
            <w:r w:rsidRPr="007E0AEC">
              <w:rPr>
                <w:lang w:val="en-GB"/>
              </w:rPr>
              <w:t xml:space="preserve"> </w:t>
            </w:r>
            <w:proofErr w:type="spellStart"/>
            <w:r w:rsidRPr="007E0AEC">
              <w:rPr>
                <w:lang w:val="en-GB"/>
              </w:rPr>
              <w:t>äquiv</w:t>
            </w:r>
            <w:proofErr w:type="spellEnd"/>
          </w:p>
        </w:tc>
        <w:tc>
          <w:tcPr>
            <w:tcW w:w="567" w:type="dxa"/>
          </w:tcPr>
          <w:p w:rsidR="000224B7" w:rsidRPr="007E0AEC" w:rsidRDefault="000224B7" w:rsidP="00886F5A"/>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r>
      <w:tr w:rsidR="000224B7" w:rsidRPr="007E0AEC" w:rsidTr="000224B7">
        <w:tc>
          <w:tcPr>
            <w:tcW w:w="851" w:type="dxa"/>
          </w:tcPr>
          <w:p w:rsidR="000224B7" w:rsidRPr="007E0AEC" w:rsidRDefault="000224B7" w:rsidP="00886F5A">
            <w:r w:rsidRPr="007E0AEC">
              <w:lastRenderedPageBreak/>
              <w:t>ADPE</w:t>
            </w:r>
          </w:p>
        </w:tc>
        <w:tc>
          <w:tcPr>
            <w:tcW w:w="1701" w:type="dxa"/>
          </w:tcPr>
          <w:p w:rsidR="000224B7" w:rsidRPr="007E0AEC" w:rsidRDefault="000224B7" w:rsidP="00886F5A">
            <w:r w:rsidRPr="007E0AEC">
              <w:rPr>
                <w:lang w:val="en-GB"/>
              </w:rPr>
              <w:t xml:space="preserve">kg Sb </w:t>
            </w:r>
            <w:proofErr w:type="spellStart"/>
            <w:r w:rsidRPr="007E0AEC">
              <w:rPr>
                <w:lang w:val="en-GB"/>
              </w:rPr>
              <w:t>äquiv</w:t>
            </w:r>
            <w:proofErr w:type="spellEnd"/>
          </w:p>
        </w:tc>
        <w:tc>
          <w:tcPr>
            <w:tcW w:w="567" w:type="dxa"/>
          </w:tcPr>
          <w:p w:rsidR="000224B7" w:rsidRPr="007E0AEC" w:rsidRDefault="000224B7" w:rsidP="00886F5A"/>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r>
      <w:tr w:rsidR="000224B7" w:rsidRPr="007E0AEC" w:rsidTr="000224B7">
        <w:tc>
          <w:tcPr>
            <w:tcW w:w="851" w:type="dxa"/>
          </w:tcPr>
          <w:p w:rsidR="000224B7" w:rsidRPr="007E0AEC" w:rsidRDefault="000224B7" w:rsidP="00886F5A">
            <w:r w:rsidRPr="007E0AEC">
              <w:t>ADPF</w:t>
            </w:r>
          </w:p>
        </w:tc>
        <w:tc>
          <w:tcPr>
            <w:tcW w:w="1701" w:type="dxa"/>
          </w:tcPr>
          <w:p w:rsidR="000224B7" w:rsidRPr="007E0AEC" w:rsidRDefault="000224B7" w:rsidP="00886F5A">
            <w:r w:rsidRPr="007E0AEC">
              <w:rPr>
                <w:lang w:val="en-GB"/>
              </w:rPr>
              <w:t>MJ H</w:t>
            </w:r>
            <w:r w:rsidRPr="007E0AEC">
              <w:rPr>
                <w:vertAlign w:val="subscript"/>
                <w:lang w:val="en-GB"/>
              </w:rPr>
              <w:t>u</w:t>
            </w:r>
          </w:p>
        </w:tc>
        <w:tc>
          <w:tcPr>
            <w:tcW w:w="567" w:type="dxa"/>
          </w:tcPr>
          <w:p w:rsidR="000224B7" w:rsidRPr="007E0AEC" w:rsidRDefault="000224B7" w:rsidP="00886F5A"/>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r>
    </w:tbl>
    <w:p w:rsidR="000224B7" w:rsidRDefault="000224B7" w:rsidP="000224B7"/>
    <w:tbl>
      <w:tblPr>
        <w:tblStyle w:val="Tabellenraster"/>
        <w:tblW w:w="9923" w:type="dxa"/>
        <w:tblInd w:w="108" w:type="dxa"/>
        <w:tblLook w:val="04A0" w:firstRow="1" w:lastRow="0" w:firstColumn="1" w:lastColumn="0" w:noHBand="0" w:noVBand="1"/>
      </w:tblPr>
      <w:tblGrid>
        <w:gridCol w:w="1951"/>
        <w:gridCol w:w="7972"/>
      </w:tblGrid>
      <w:tr w:rsidR="000224B7" w:rsidTr="000224B7">
        <w:trPr>
          <w:trHeight w:val="850"/>
        </w:trPr>
        <w:tc>
          <w:tcPr>
            <w:tcW w:w="1951" w:type="dxa"/>
            <w:vAlign w:val="center"/>
          </w:tcPr>
          <w:p w:rsidR="000224B7" w:rsidRPr="005A579C" w:rsidRDefault="000224B7" w:rsidP="00886F5A">
            <w:pPr>
              <w:rPr>
                <w:sz w:val="16"/>
              </w:rPr>
            </w:pPr>
            <w:r w:rsidRPr="005A579C">
              <w:rPr>
                <w:sz w:val="16"/>
              </w:rPr>
              <w:t>Legende</w:t>
            </w:r>
          </w:p>
        </w:tc>
        <w:tc>
          <w:tcPr>
            <w:tcW w:w="7972" w:type="dxa"/>
            <w:vAlign w:val="center"/>
          </w:tcPr>
          <w:p w:rsidR="000224B7" w:rsidRPr="005A579C" w:rsidRDefault="000224B7" w:rsidP="002D0A88">
            <w:pPr>
              <w:jc w:val="left"/>
              <w:rPr>
                <w:sz w:val="16"/>
                <w:lang w:val="de-AT"/>
              </w:rPr>
            </w:pPr>
            <w:r w:rsidRPr="005A579C">
              <w:rPr>
                <w:rFonts w:eastAsia="Times New Roman"/>
                <w:sz w:val="16"/>
                <w:lang w:val="de-AT" w:eastAsia="de-AT"/>
              </w:rPr>
              <w:t>GWP = Globales Erwärmu</w:t>
            </w:r>
            <w:r w:rsidR="00190F81">
              <w:rPr>
                <w:rFonts w:eastAsia="Times New Roman"/>
                <w:sz w:val="16"/>
                <w:lang w:val="de-AT" w:eastAsia="de-AT"/>
              </w:rPr>
              <w:t>ngspotenzial; ODP = Abbaupotenz</w:t>
            </w:r>
            <w:r w:rsidRPr="005A579C">
              <w:rPr>
                <w:rFonts w:eastAsia="Times New Roman"/>
                <w:sz w:val="16"/>
                <w:lang w:val="de-AT" w:eastAsia="de-AT"/>
              </w:rPr>
              <w:t>ial der st</w:t>
            </w:r>
            <w:r>
              <w:rPr>
                <w:rFonts w:eastAsia="Times New Roman"/>
                <w:sz w:val="16"/>
                <w:lang w:val="de-AT" w:eastAsia="de-AT"/>
              </w:rPr>
              <w:t>ratosphärischen Ozonschicht;</w:t>
            </w:r>
            <w:r>
              <w:rPr>
                <w:rFonts w:eastAsia="Times New Roman"/>
                <w:sz w:val="16"/>
                <w:lang w:val="de-AT" w:eastAsia="de-AT"/>
              </w:rPr>
              <w:br/>
            </w:r>
            <w:r w:rsidRPr="005A579C">
              <w:rPr>
                <w:rFonts w:eastAsia="Times New Roman"/>
                <w:sz w:val="16"/>
                <w:lang w:val="de-AT" w:eastAsia="de-AT"/>
              </w:rPr>
              <w:t xml:space="preserve">AP = Versauerungspotenzial von Boden und Wasser; EP = Eutrophierungspotenzial; </w:t>
            </w:r>
            <w:r>
              <w:rPr>
                <w:rFonts w:eastAsia="Times New Roman"/>
                <w:sz w:val="16"/>
                <w:lang w:val="de-AT" w:eastAsia="de-AT"/>
              </w:rPr>
              <w:br/>
            </w:r>
            <w:r w:rsidR="00190F81">
              <w:rPr>
                <w:rFonts w:eastAsia="Times New Roman"/>
                <w:sz w:val="16"/>
                <w:lang w:val="de-AT" w:eastAsia="de-AT"/>
              </w:rPr>
              <w:t>POCP = Bildungspotenz</w:t>
            </w:r>
            <w:r w:rsidRPr="005A579C">
              <w:rPr>
                <w:rFonts w:eastAsia="Times New Roman"/>
                <w:sz w:val="16"/>
                <w:lang w:val="de-AT" w:eastAsia="de-AT"/>
              </w:rPr>
              <w:t xml:space="preserve">ial für troposphärisches Ozon; ADPE = Potenzial für den abiotischen Abbau nicht fossiler Ressourcen; ADPF = Potenzial für den abiotischen Abbau fossiler Brennstoffe </w:t>
            </w:r>
          </w:p>
        </w:tc>
      </w:tr>
    </w:tbl>
    <w:p w:rsidR="001F252F" w:rsidRPr="00DF5E75" w:rsidRDefault="001F252F" w:rsidP="001F252F"/>
    <w:p w:rsidR="000224B7" w:rsidRDefault="000224B7" w:rsidP="000224B7">
      <w:pPr>
        <w:pStyle w:val="Beschriftung"/>
        <w:keepNext/>
        <w:rPr>
          <w:color w:val="17365D" w:themeColor="text2" w:themeShade="BF"/>
        </w:rPr>
      </w:pPr>
      <w:r w:rsidRPr="005E4D75">
        <w:rPr>
          <w:color w:val="17365D" w:themeColor="text2" w:themeShade="BF"/>
        </w:rPr>
        <w:t xml:space="preserve">Tabelle </w:t>
      </w:r>
      <w:r w:rsidR="008F14A7" w:rsidRPr="005E4D75">
        <w:rPr>
          <w:color w:val="17365D" w:themeColor="text2" w:themeShade="BF"/>
        </w:rPr>
        <w:fldChar w:fldCharType="begin"/>
      </w:r>
      <w:r w:rsidRPr="005E4D75">
        <w:rPr>
          <w:color w:val="17365D" w:themeColor="text2" w:themeShade="BF"/>
        </w:rPr>
        <w:instrText xml:space="preserve"> SEQ Tabelle \* ARABIC </w:instrText>
      </w:r>
      <w:r w:rsidR="008F14A7" w:rsidRPr="005E4D75">
        <w:rPr>
          <w:color w:val="17365D" w:themeColor="text2" w:themeShade="BF"/>
        </w:rPr>
        <w:fldChar w:fldCharType="separate"/>
      </w:r>
      <w:r w:rsidR="00380BCC">
        <w:rPr>
          <w:noProof/>
          <w:color w:val="17365D" w:themeColor="text2" w:themeShade="BF"/>
        </w:rPr>
        <w:t>13</w:t>
      </w:r>
      <w:r w:rsidR="008F14A7" w:rsidRPr="005E4D75">
        <w:rPr>
          <w:color w:val="17365D" w:themeColor="text2" w:themeShade="BF"/>
        </w:rPr>
        <w:fldChar w:fldCharType="end"/>
      </w:r>
      <w:r w:rsidRPr="005E4D75">
        <w:rPr>
          <w:color w:val="17365D" w:themeColor="text2" w:themeShade="BF"/>
        </w:rPr>
        <w:t>: Parameter zur Beschreibung des Ressourceneinsatzes</w:t>
      </w:r>
    </w:p>
    <w:tbl>
      <w:tblPr>
        <w:tblStyle w:val="Tabellenraster"/>
        <w:tblW w:w="9923" w:type="dxa"/>
        <w:tblInd w:w="108" w:type="dxa"/>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0224B7" w:rsidRPr="007E0AEC" w:rsidTr="000224B7">
        <w:tc>
          <w:tcPr>
            <w:tcW w:w="993" w:type="dxa"/>
            <w:shd w:val="clear" w:color="auto" w:fill="8DB3E2" w:themeFill="text2" w:themeFillTint="66"/>
          </w:tcPr>
          <w:p w:rsidR="000224B7" w:rsidRPr="004619BB" w:rsidRDefault="000224B7" w:rsidP="00886F5A">
            <w:pPr>
              <w:rPr>
                <w:b/>
              </w:rPr>
            </w:pPr>
            <w:bookmarkStart w:id="41" w:name="_Toc336404911"/>
            <w:r w:rsidRPr="004619BB">
              <w:rPr>
                <w:b/>
              </w:rPr>
              <w:t>Para-meter</w:t>
            </w:r>
          </w:p>
        </w:tc>
        <w:tc>
          <w:tcPr>
            <w:tcW w:w="992" w:type="dxa"/>
            <w:shd w:val="clear" w:color="auto" w:fill="8DB3E2" w:themeFill="text2" w:themeFillTint="66"/>
          </w:tcPr>
          <w:p w:rsidR="000224B7" w:rsidRPr="004619BB" w:rsidRDefault="000224B7" w:rsidP="00886F5A">
            <w:pPr>
              <w:rPr>
                <w:b/>
              </w:rPr>
            </w:pPr>
            <w:r w:rsidRPr="004619BB">
              <w:rPr>
                <w:b/>
              </w:rPr>
              <w:t>Einheit</w:t>
            </w:r>
          </w:p>
        </w:tc>
        <w:tc>
          <w:tcPr>
            <w:tcW w:w="709" w:type="dxa"/>
            <w:shd w:val="clear" w:color="auto" w:fill="8DB3E2" w:themeFill="text2" w:themeFillTint="66"/>
          </w:tcPr>
          <w:p w:rsidR="000224B7" w:rsidRPr="004619BB" w:rsidRDefault="000224B7" w:rsidP="00886F5A">
            <w:pPr>
              <w:rPr>
                <w:b/>
              </w:rPr>
            </w:pPr>
            <w:r w:rsidRPr="004619BB">
              <w:rPr>
                <w:b/>
              </w:rPr>
              <w:t>A1-A3</w:t>
            </w:r>
          </w:p>
        </w:tc>
        <w:tc>
          <w:tcPr>
            <w:tcW w:w="709" w:type="dxa"/>
            <w:shd w:val="clear" w:color="auto" w:fill="8DB3E2" w:themeFill="text2" w:themeFillTint="66"/>
          </w:tcPr>
          <w:p w:rsidR="000224B7" w:rsidRPr="004619BB" w:rsidRDefault="000224B7" w:rsidP="00886F5A">
            <w:pPr>
              <w:rPr>
                <w:b/>
              </w:rPr>
            </w:pPr>
            <w:r w:rsidRPr="004619BB">
              <w:rPr>
                <w:b/>
              </w:rPr>
              <w:t>A4</w:t>
            </w:r>
          </w:p>
        </w:tc>
        <w:tc>
          <w:tcPr>
            <w:tcW w:w="709" w:type="dxa"/>
            <w:shd w:val="clear" w:color="auto" w:fill="8DB3E2" w:themeFill="text2" w:themeFillTint="66"/>
          </w:tcPr>
          <w:p w:rsidR="000224B7" w:rsidRPr="004619BB" w:rsidRDefault="000224B7" w:rsidP="00886F5A">
            <w:pPr>
              <w:rPr>
                <w:b/>
              </w:rPr>
            </w:pPr>
            <w:r w:rsidRPr="004619BB">
              <w:rPr>
                <w:b/>
              </w:rPr>
              <w:t>A5</w:t>
            </w:r>
          </w:p>
        </w:tc>
        <w:tc>
          <w:tcPr>
            <w:tcW w:w="708" w:type="dxa"/>
            <w:shd w:val="clear" w:color="auto" w:fill="8DB3E2" w:themeFill="text2" w:themeFillTint="66"/>
          </w:tcPr>
          <w:p w:rsidR="000224B7" w:rsidRPr="004619BB" w:rsidRDefault="000224B7" w:rsidP="00886F5A">
            <w:pPr>
              <w:rPr>
                <w:b/>
              </w:rPr>
            </w:pPr>
            <w:r w:rsidRPr="004619BB">
              <w:rPr>
                <w:b/>
              </w:rPr>
              <w:t>B1</w:t>
            </w:r>
          </w:p>
        </w:tc>
        <w:tc>
          <w:tcPr>
            <w:tcW w:w="567" w:type="dxa"/>
            <w:shd w:val="clear" w:color="auto" w:fill="8DB3E2" w:themeFill="text2" w:themeFillTint="66"/>
          </w:tcPr>
          <w:p w:rsidR="000224B7" w:rsidRPr="004619BB" w:rsidRDefault="000224B7" w:rsidP="00886F5A">
            <w:pPr>
              <w:rPr>
                <w:b/>
              </w:rPr>
            </w:pPr>
            <w:r w:rsidRPr="004619BB">
              <w:rPr>
                <w:b/>
              </w:rPr>
              <w:t>B2</w:t>
            </w:r>
          </w:p>
        </w:tc>
        <w:tc>
          <w:tcPr>
            <w:tcW w:w="567" w:type="dxa"/>
            <w:shd w:val="clear" w:color="auto" w:fill="8DB3E2" w:themeFill="text2" w:themeFillTint="66"/>
          </w:tcPr>
          <w:p w:rsidR="000224B7" w:rsidRPr="004619BB" w:rsidRDefault="000224B7" w:rsidP="00886F5A">
            <w:pPr>
              <w:rPr>
                <w:b/>
              </w:rPr>
            </w:pPr>
            <w:r w:rsidRPr="004619BB">
              <w:rPr>
                <w:b/>
              </w:rPr>
              <w:t>B5</w:t>
            </w:r>
          </w:p>
        </w:tc>
        <w:tc>
          <w:tcPr>
            <w:tcW w:w="567" w:type="dxa"/>
            <w:shd w:val="clear" w:color="auto" w:fill="8DB3E2" w:themeFill="text2" w:themeFillTint="66"/>
          </w:tcPr>
          <w:p w:rsidR="000224B7" w:rsidRPr="004619BB" w:rsidRDefault="000224B7" w:rsidP="00886F5A">
            <w:pPr>
              <w:rPr>
                <w:b/>
              </w:rPr>
            </w:pPr>
            <w:r w:rsidRPr="004619BB">
              <w:rPr>
                <w:b/>
              </w:rPr>
              <w:t>B6</w:t>
            </w:r>
          </w:p>
        </w:tc>
        <w:tc>
          <w:tcPr>
            <w:tcW w:w="567" w:type="dxa"/>
            <w:shd w:val="clear" w:color="auto" w:fill="8DB3E2" w:themeFill="text2" w:themeFillTint="66"/>
          </w:tcPr>
          <w:p w:rsidR="000224B7" w:rsidRPr="004619BB" w:rsidRDefault="000224B7" w:rsidP="00886F5A">
            <w:pPr>
              <w:rPr>
                <w:b/>
              </w:rPr>
            </w:pPr>
            <w:r w:rsidRPr="004619BB">
              <w:rPr>
                <w:b/>
              </w:rPr>
              <w:t>B7</w:t>
            </w:r>
          </w:p>
        </w:tc>
        <w:tc>
          <w:tcPr>
            <w:tcW w:w="567" w:type="dxa"/>
            <w:shd w:val="clear" w:color="auto" w:fill="8DB3E2" w:themeFill="text2" w:themeFillTint="66"/>
          </w:tcPr>
          <w:p w:rsidR="000224B7" w:rsidRPr="004619BB" w:rsidRDefault="000224B7" w:rsidP="00886F5A">
            <w:pPr>
              <w:rPr>
                <w:b/>
              </w:rPr>
            </w:pPr>
            <w:r w:rsidRPr="004619BB">
              <w:rPr>
                <w:b/>
              </w:rPr>
              <w:t>C1</w:t>
            </w:r>
          </w:p>
        </w:tc>
        <w:tc>
          <w:tcPr>
            <w:tcW w:w="567" w:type="dxa"/>
            <w:shd w:val="clear" w:color="auto" w:fill="8DB3E2" w:themeFill="text2" w:themeFillTint="66"/>
          </w:tcPr>
          <w:p w:rsidR="000224B7" w:rsidRPr="004619BB" w:rsidRDefault="000224B7" w:rsidP="00886F5A">
            <w:pPr>
              <w:rPr>
                <w:b/>
              </w:rPr>
            </w:pPr>
            <w:r w:rsidRPr="004619BB">
              <w:rPr>
                <w:b/>
              </w:rPr>
              <w:t>C2</w:t>
            </w:r>
          </w:p>
        </w:tc>
        <w:tc>
          <w:tcPr>
            <w:tcW w:w="567" w:type="dxa"/>
            <w:shd w:val="clear" w:color="auto" w:fill="8DB3E2" w:themeFill="text2" w:themeFillTint="66"/>
          </w:tcPr>
          <w:p w:rsidR="000224B7" w:rsidRPr="004619BB" w:rsidRDefault="000224B7" w:rsidP="00886F5A">
            <w:pPr>
              <w:rPr>
                <w:b/>
              </w:rPr>
            </w:pPr>
            <w:r w:rsidRPr="004619BB">
              <w:rPr>
                <w:b/>
              </w:rPr>
              <w:t>C3</w:t>
            </w:r>
          </w:p>
        </w:tc>
        <w:tc>
          <w:tcPr>
            <w:tcW w:w="567" w:type="dxa"/>
            <w:shd w:val="clear" w:color="auto" w:fill="8DB3E2" w:themeFill="text2" w:themeFillTint="66"/>
          </w:tcPr>
          <w:p w:rsidR="000224B7" w:rsidRPr="004619BB" w:rsidRDefault="000224B7" w:rsidP="00886F5A">
            <w:pPr>
              <w:rPr>
                <w:b/>
              </w:rPr>
            </w:pPr>
            <w:r w:rsidRPr="004619BB">
              <w:rPr>
                <w:b/>
              </w:rPr>
              <w:t>C4</w:t>
            </w:r>
          </w:p>
        </w:tc>
        <w:tc>
          <w:tcPr>
            <w:tcW w:w="567" w:type="dxa"/>
            <w:shd w:val="clear" w:color="auto" w:fill="8DB3E2" w:themeFill="text2" w:themeFillTint="66"/>
          </w:tcPr>
          <w:p w:rsidR="000224B7" w:rsidRPr="004619BB" w:rsidRDefault="000224B7" w:rsidP="00886F5A">
            <w:pPr>
              <w:rPr>
                <w:b/>
              </w:rPr>
            </w:pPr>
            <w:r w:rsidRPr="004619BB">
              <w:rPr>
                <w:b/>
              </w:rPr>
              <w:t>D</w:t>
            </w:r>
          </w:p>
        </w:tc>
      </w:tr>
      <w:tr w:rsidR="000224B7" w:rsidRPr="007E0AEC" w:rsidTr="000224B7">
        <w:tc>
          <w:tcPr>
            <w:tcW w:w="993" w:type="dxa"/>
          </w:tcPr>
          <w:p w:rsidR="000224B7" w:rsidRPr="007E0AEC" w:rsidRDefault="000224B7" w:rsidP="00886F5A">
            <w:r w:rsidRPr="007E0AEC">
              <w:t>PERE</w:t>
            </w:r>
          </w:p>
        </w:tc>
        <w:tc>
          <w:tcPr>
            <w:tcW w:w="992" w:type="dxa"/>
          </w:tcPr>
          <w:p w:rsidR="000224B7" w:rsidRPr="007E0AEC" w:rsidRDefault="000224B7" w:rsidP="00886F5A">
            <w:r w:rsidRPr="007E0AEC">
              <w:rPr>
                <w:lang w:val="de-AT"/>
              </w:rPr>
              <w:t>MJ H</w:t>
            </w:r>
            <w:r w:rsidRPr="007E0AEC">
              <w:rPr>
                <w:vertAlign w:val="subscript"/>
                <w:lang w:val="de-AT"/>
              </w:rPr>
              <w:t>u</w:t>
            </w:r>
          </w:p>
        </w:tc>
        <w:tc>
          <w:tcPr>
            <w:tcW w:w="709" w:type="dxa"/>
          </w:tcPr>
          <w:p w:rsidR="000224B7" w:rsidRPr="007E0AEC" w:rsidRDefault="000224B7" w:rsidP="00886F5A"/>
        </w:tc>
        <w:tc>
          <w:tcPr>
            <w:tcW w:w="709" w:type="dxa"/>
          </w:tcPr>
          <w:p w:rsidR="000224B7" w:rsidRPr="007E0AEC" w:rsidRDefault="000224B7" w:rsidP="00886F5A"/>
        </w:tc>
        <w:tc>
          <w:tcPr>
            <w:tcW w:w="709" w:type="dxa"/>
          </w:tcPr>
          <w:p w:rsidR="000224B7" w:rsidRPr="007E0AEC" w:rsidRDefault="000224B7" w:rsidP="00886F5A"/>
        </w:tc>
        <w:tc>
          <w:tcPr>
            <w:tcW w:w="708"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r w:rsidR="000224B7" w:rsidRPr="007E0AEC" w:rsidTr="000224B7">
        <w:tc>
          <w:tcPr>
            <w:tcW w:w="993" w:type="dxa"/>
          </w:tcPr>
          <w:p w:rsidR="000224B7" w:rsidRPr="007E0AEC" w:rsidRDefault="000224B7" w:rsidP="00886F5A">
            <w:r w:rsidRPr="007E0AEC">
              <w:t>PERM</w:t>
            </w:r>
          </w:p>
        </w:tc>
        <w:tc>
          <w:tcPr>
            <w:tcW w:w="992" w:type="dxa"/>
          </w:tcPr>
          <w:p w:rsidR="000224B7" w:rsidRPr="007E0AEC" w:rsidRDefault="000224B7" w:rsidP="00886F5A">
            <w:r w:rsidRPr="007E0AEC">
              <w:rPr>
                <w:lang w:val="de-AT"/>
              </w:rPr>
              <w:t>MJ H</w:t>
            </w:r>
            <w:r w:rsidRPr="007E0AEC">
              <w:rPr>
                <w:vertAlign w:val="subscript"/>
                <w:lang w:val="de-AT"/>
              </w:rPr>
              <w:t>u</w:t>
            </w:r>
          </w:p>
        </w:tc>
        <w:tc>
          <w:tcPr>
            <w:tcW w:w="709" w:type="dxa"/>
          </w:tcPr>
          <w:p w:rsidR="000224B7" w:rsidRPr="007E0AEC" w:rsidRDefault="000224B7" w:rsidP="00886F5A"/>
        </w:tc>
        <w:tc>
          <w:tcPr>
            <w:tcW w:w="709" w:type="dxa"/>
          </w:tcPr>
          <w:p w:rsidR="000224B7" w:rsidRPr="007E0AEC" w:rsidRDefault="000224B7" w:rsidP="00886F5A"/>
        </w:tc>
        <w:tc>
          <w:tcPr>
            <w:tcW w:w="709" w:type="dxa"/>
          </w:tcPr>
          <w:p w:rsidR="000224B7" w:rsidRPr="007E0AEC" w:rsidRDefault="000224B7" w:rsidP="00886F5A"/>
        </w:tc>
        <w:tc>
          <w:tcPr>
            <w:tcW w:w="708"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r w:rsidR="000224B7" w:rsidRPr="007E0AEC" w:rsidTr="000224B7">
        <w:tc>
          <w:tcPr>
            <w:tcW w:w="993" w:type="dxa"/>
          </w:tcPr>
          <w:p w:rsidR="000224B7" w:rsidRPr="007E0AEC" w:rsidRDefault="000224B7" w:rsidP="00886F5A">
            <w:r w:rsidRPr="007E0AEC">
              <w:t>PERT</w:t>
            </w:r>
          </w:p>
        </w:tc>
        <w:tc>
          <w:tcPr>
            <w:tcW w:w="992" w:type="dxa"/>
          </w:tcPr>
          <w:p w:rsidR="000224B7" w:rsidRPr="007E0AEC" w:rsidRDefault="000224B7" w:rsidP="00886F5A">
            <w:r w:rsidRPr="007E0AEC">
              <w:rPr>
                <w:lang w:val="de-AT"/>
              </w:rPr>
              <w:t xml:space="preserve">MJ </w:t>
            </w:r>
            <w:r w:rsidRPr="007E0AEC">
              <w:rPr>
                <w:lang w:val="en-GB"/>
              </w:rPr>
              <w:t>H</w:t>
            </w:r>
            <w:r w:rsidRPr="007E0AEC">
              <w:rPr>
                <w:vertAlign w:val="subscript"/>
                <w:lang w:val="en-GB"/>
              </w:rPr>
              <w:t>u</w:t>
            </w:r>
          </w:p>
        </w:tc>
        <w:tc>
          <w:tcPr>
            <w:tcW w:w="709" w:type="dxa"/>
          </w:tcPr>
          <w:p w:rsidR="000224B7" w:rsidRPr="007E0AEC" w:rsidRDefault="000224B7" w:rsidP="00886F5A"/>
        </w:tc>
        <w:tc>
          <w:tcPr>
            <w:tcW w:w="709" w:type="dxa"/>
          </w:tcPr>
          <w:p w:rsidR="000224B7" w:rsidRPr="007E0AEC" w:rsidRDefault="000224B7" w:rsidP="00886F5A"/>
        </w:tc>
        <w:tc>
          <w:tcPr>
            <w:tcW w:w="709" w:type="dxa"/>
          </w:tcPr>
          <w:p w:rsidR="000224B7" w:rsidRPr="007E0AEC" w:rsidRDefault="000224B7" w:rsidP="00886F5A"/>
        </w:tc>
        <w:tc>
          <w:tcPr>
            <w:tcW w:w="708"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r w:rsidR="000224B7" w:rsidRPr="007E0AEC" w:rsidTr="000224B7">
        <w:tc>
          <w:tcPr>
            <w:tcW w:w="993" w:type="dxa"/>
          </w:tcPr>
          <w:p w:rsidR="000224B7" w:rsidRPr="007E0AEC" w:rsidRDefault="000224B7" w:rsidP="00886F5A">
            <w:r w:rsidRPr="007E0AEC">
              <w:t>PENRE</w:t>
            </w:r>
          </w:p>
        </w:tc>
        <w:tc>
          <w:tcPr>
            <w:tcW w:w="992" w:type="dxa"/>
          </w:tcPr>
          <w:p w:rsidR="000224B7" w:rsidRPr="007E0AEC" w:rsidRDefault="000224B7" w:rsidP="00886F5A">
            <w:r w:rsidRPr="007E0AEC">
              <w:rPr>
                <w:lang w:val="en-GB"/>
              </w:rPr>
              <w:t>MJ H</w:t>
            </w:r>
            <w:r w:rsidRPr="007E0AEC">
              <w:rPr>
                <w:vertAlign w:val="subscript"/>
                <w:lang w:val="en-GB"/>
              </w:rPr>
              <w:t>u</w:t>
            </w:r>
          </w:p>
        </w:tc>
        <w:tc>
          <w:tcPr>
            <w:tcW w:w="709" w:type="dxa"/>
          </w:tcPr>
          <w:p w:rsidR="000224B7" w:rsidRPr="007E0AEC" w:rsidRDefault="000224B7" w:rsidP="00886F5A"/>
        </w:tc>
        <w:tc>
          <w:tcPr>
            <w:tcW w:w="709" w:type="dxa"/>
          </w:tcPr>
          <w:p w:rsidR="000224B7" w:rsidRPr="007E0AEC" w:rsidRDefault="000224B7" w:rsidP="00886F5A">
            <w:pPr>
              <w:rPr>
                <w:lang w:val="en-GB"/>
              </w:rPr>
            </w:pPr>
          </w:p>
        </w:tc>
        <w:tc>
          <w:tcPr>
            <w:tcW w:w="709" w:type="dxa"/>
          </w:tcPr>
          <w:p w:rsidR="000224B7" w:rsidRPr="007E0AEC" w:rsidRDefault="000224B7" w:rsidP="00886F5A">
            <w:pPr>
              <w:rPr>
                <w:lang w:val="en-GB"/>
              </w:rPr>
            </w:pPr>
          </w:p>
        </w:tc>
        <w:tc>
          <w:tcPr>
            <w:tcW w:w="708"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r>
      <w:tr w:rsidR="000224B7" w:rsidRPr="007E0AEC" w:rsidTr="000224B7">
        <w:tc>
          <w:tcPr>
            <w:tcW w:w="993" w:type="dxa"/>
          </w:tcPr>
          <w:p w:rsidR="000224B7" w:rsidRPr="007E0AEC" w:rsidRDefault="000224B7" w:rsidP="00886F5A">
            <w:r w:rsidRPr="007E0AEC">
              <w:t>PENRM</w:t>
            </w:r>
          </w:p>
        </w:tc>
        <w:tc>
          <w:tcPr>
            <w:tcW w:w="992" w:type="dxa"/>
          </w:tcPr>
          <w:p w:rsidR="000224B7" w:rsidRPr="007E0AEC" w:rsidRDefault="000224B7" w:rsidP="00886F5A">
            <w:r w:rsidRPr="007E0AEC">
              <w:rPr>
                <w:lang w:val="en-GB"/>
              </w:rPr>
              <w:t>MJ H</w:t>
            </w:r>
            <w:r w:rsidRPr="007E0AEC">
              <w:rPr>
                <w:vertAlign w:val="subscript"/>
                <w:lang w:val="en-GB"/>
              </w:rPr>
              <w:t>u</w:t>
            </w:r>
          </w:p>
        </w:tc>
        <w:tc>
          <w:tcPr>
            <w:tcW w:w="709" w:type="dxa"/>
          </w:tcPr>
          <w:p w:rsidR="000224B7" w:rsidRPr="007E0AEC" w:rsidRDefault="000224B7" w:rsidP="00886F5A"/>
        </w:tc>
        <w:tc>
          <w:tcPr>
            <w:tcW w:w="709" w:type="dxa"/>
          </w:tcPr>
          <w:p w:rsidR="000224B7" w:rsidRPr="007E0AEC" w:rsidRDefault="000224B7" w:rsidP="00886F5A">
            <w:pPr>
              <w:rPr>
                <w:lang w:val="en-GB"/>
              </w:rPr>
            </w:pPr>
          </w:p>
        </w:tc>
        <w:tc>
          <w:tcPr>
            <w:tcW w:w="709" w:type="dxa"/>
          </w:tcPr>
          <w:p w:rsidR="000224B7" w:rsidRPr="007E0AEC" w:rsidRDefault="000224B7" w:rsidP="00886F5A">
            <w:pPr>
              <w:rPr>
                <w:lang w:val="en-GB"/>
              </w:rPr>
            </w:pPr>
          </w:p>
        </w:tc>
        <w:tc>
          <w:tcPr>
            <w:tcW w:w="708"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r>
      <w:tr w:rsidR="000224B7" w:rsidRPr="007E0AEC" w:rsidTr="000224B7">
        <w:tc>
          <w:tcPr>
            <w:tcW w:w="993" w:type="dxa"/>
          </w:tcPr>
          <w:p w:rsidR="000224B7" w:rsidRPr="007E0AEC" w:rsidRDefault="000224B7" w:rsidP="00886F5A">
            <w:r w:rsidRPr="007E0AEC">
              <w:t>PENRT</w:t>
            </w:r>
          </w:p>
        </w:tc>
        <w:tc>
          <w:tcPr>
            <w:tcW w:w="992" w:type="dxa"/>
          </w:tcPr>
          <w:p w:rsidR="000224B7" w:rsidRPr="007E0AEC" w:rsidRDefault="000224B7" w:rsidP="00886F5A">
            <w:r w:rsidRPr="007E0AEC">
              <w:rPr>
                <w:lang w:val="en-GB"/>
              </w:rPr>
              <w:t>MJ H</w:t>
            </w:r>
            <w:r w:rsidRPr="007E0AEC">
              <w:rPr>
                <w:vertAlign w:val="subscript"/>
                <w:lang w:val="en-GB"/>
              </w:rPr>
              <w:t>u</w:t>
            </w:r>
          </w:p>
        </w:tc>
        <w:tc>
          <w:tcPr>
            <w:tcW w:w="709" w:type="dxa"/>
          </w:tcPr>
          <w:p w:rsidR="000224B7" w:rsidRPr="007E0AEC" w:rsidRDefault="000224B7" w:rsidP="00886F5A"/>
        </w:tc>
        <w:tc>
          <w:tcPr>
            <w:tcW w:w="709" w:type="dxa"/>
          </w:tcPr>
          <w:p w:rsidR="000224B7" w:rsidRPr="007E0AEC" w:rsidRDefault="000224B7" w:rsidP="00886F5A">
            <w:pPr>
              <w:rPr>
                <w:lang w:val="en-GB"/>
              </w:rPr>
            </w:pPr>
          </w:p>
        </w:tc>
        <w:tc>
          <w:tcPr>
            <w:tcW w:w="709" w:type="dxa"/>
          </w:tcPr>
          <w:p w:rsidR="000224B7" w:rsidRPr="007E0AEC" w:rsidRDefault="000224B7" w:rsidP="00886F5A">
            <w:pPr>
              <w:rPr>
                <w:lang w:val="en-GB"/>
              </w:rPr>
            </w:pPr>
          </w:p>
        </w:tc>
        <w:tc>
          <w:tcPr>
            <w:tcW w:w="708"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r>
      <w:tr w:rsidR="000224B7" w:rsidRPr="007E0AEC" w:rsidTr="000224B7">
        <w:tc>
          <w:tcPr>
            <w:tcW w:w="993" w:type="dxa"/>
          </w:tcPr>
          <w:p w:rsidR="000224B7" w:rsidRPr="007E0AEC" w:rsidRDefault="000224B7" w:rsidP="00886F5A">
            <w:r w:rsidRPr="007E0AEC">
              <w:t>SM</w:t>
            </w:r>
          </w:p>
        </w:tc>
        <w:tc>
          <w:tcPr>
            <w:tcW w:w="992" w:type="dxa"/>
          </w:tcPr>
          <w:p w:rsidR="000224B7" w:rsidRPr="007E0AEC" w:rsidRDefault="000224B7" w:rsidP="00886F5A">
            <w:pPr>
              <w:rPr>
                <w:lang w:val="en-GB"/>
              </w:rPr>
            </w:pPr>
            <w:r w:rsidRPr="007E0AEC">
              <w:t>kg</w:t>
            </w:r>
          </w:p>
        </w:tc>
        <w:tc>
          <w:tcPr>
            <w:tcW w:w="709" w:type="dxa"/>
          </w:tcPr>
          <w:p w:rsidR="000224B7" w:rsidRPr="007E0AEC" w:rsidRDefault="000224B7" w:rsidP="00886F5A"/>
        </w:tc>
        <w:tc>
          <w:tcPr>
            <w:tcW w:w="709" w:type="dxa"/>
          </w:tcPr>
          <w:p w:rsidR="000224B7" w:rsidRPr="007E0AEC" w:rsidRDefault="000224B7" w:rsidP="00886F5A">
            <w:pPr>
              <w:rPr>
                <w:lang w:val="en-GB"/>
              </w:rPr>
            </w:pPr>
          </w:p>
        </w:tc>
        <w:tc>
          <w:tcPr>
            <w:tcW w:w="709" w:type="dxa"/>
          </w:tcPr>
          <w:p w:rsidR="000224B7" w:rsidRPr="007E0AEC" w:rsidRDefault="000224B7" w:rsidP="00886F5A">
            <w:pPr>
              <w:rPr>
                <w:lang w:val="en-GB"/>
              </w:rPr>
            </w:pPr>
          </w:p>
        </w:tc>
        <w:tc>
          <w:tcPr>
            <w:tcW w:w="708"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r>
      <w:tr w:rsidR="000224B7" w:rsidRPr="007E0AEC" w:rsidTr="000224B7">
        <w:tc>
          <w:tcPr>
            <w:tcW w:w="993" w:type="dxa"/>
          </w:tcPr>
          <w:p w:rsidR="000224B7" w:rsidRPr="007E0AEC" w:rsidRDefault="000224B7" w:rsidP="00886F5A">
            <w:r w:rsidRPr="007E0AEC">
              <w:t>RSF</w:t>
            </w:r>
          </w:p>
        </w:tc>
        <w:tc>
          <w:tcPr>
            <w:tcW w:w="992" w:type="dxa"/>
          </w:tcPr>
          <w:p w:rsidR="000224B7" w:rsidRPr="007E0AEC" w:rsidRDefault="000224B7" w:rsidP="00886F5A">
            <w:pPr>
              <w:rPr>
                <w:lang w:val="en-GB"/>
              </w:rPr>
            </w:pPr>
            <w:r w:rsidRPr="007E0AEC">
              <w:t>MJ H</w:t>
            </w:r>
            <w:r w:rsidRPr="007E0AEC">
              <w:rPr>
                <w:vertAlign w:val="subscript"/>
              </w:rPr>
              <w:t>u</w:t>
            </w:r>
          </w:p>
        </w:tc>
        <w:tc>
          <w:tcPr>
            <w:tcW w:w="709" w:type="dxa"/>
          </w:tcPr>
          <w:p w:rsidR="000224B7" w:rsidRPr="007E0AEC" w:rsidRDefault="000224B7" w:rsidP="00886F5A"/>
        </w:tc>
        <w:tc>
          <w:tcPr>
            <w:tcW w:w="709" w:type="dxa"/>
          </w:tcPr>
          <w:p w:rsidR="000224B7" w:rsidRPr="007E0AEC" w:rsidRDefault="000224B7" w:rsidP="00886F5A">
            <w:pPr>
              <w:rPr>
                <w:lang w:val="en-GB"/>
              </w:rPr>
            </w:pPr>
          </w:p>
        </w:tc>
        <w:tc>
          <w:tcPr>
            <w:tcW w:w="709" w:type="dxa"/>
          </w:tcPr>
          <w:p w:rsidR="000224B7" w:rsidRPr="007E0AEC" w:rsidRDefault="000224B7" w:rsidP="00886F5A">
            <w:pPr>
              <w:rPr>
                <w:lang w:val="en-GB"/>
              </w:rPr>
            </w:pPr>
          </w:p>
        </w:tc>
        <w:tc>
          <w:tcPr>
            <w:tcW w:w="708"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r>
      <w:tr w:rsidR="000224B7" w:rsidRPr="007E0AEC" w:rsidTr="000224B7">
        <w:tc>
          <w:tcPr>
            <w:tcW w:w="993" w:type="dxa"/>
          </w:tcPr>
          <w:p w:rsidR="000224B7" w:rsidRPr="007E0AEC" w:rsidRDefault="000224B7" w:rsidP="00886F5A">
            <w:r w:rsidRPr="007E0AEC">
              <w:t>NRSF</w:t>
            </w:r>
          </w:p>
        </w:tc>
        <w:tc>
          <w:tcPr>
            <w:tcW w:w="992" w:type="dxa"/>
          </w:tcPr>
          <w:p w:rsidR="000224B7" w:rsidRPr="007E0AEC" w:rsidRDefault="000224B7" w:rsidP="00886F5A">
            <w:pPr>
              <w:rPr>
                <w:lang w:val="en-GB"/>
              </w:rPr>
            </w:pPr>
            <w:r w:rsidRPr="007E0AEC">
              <w:t>MJ H</w:t>
            </w:r>
            <w:r w:rsidRPr="007E0AEC">
              <w:rPr>
                <w:vertAlign w:val="subscript"/>
              </w:rPr>
              <w:t>u</w:t>
            </w:r>
          </w:p>
        </w:tc>
        <w:tc>
          <w:tcPr>
            <w:tcW w:w="709" w:type="dxa"/>
          </w:tcPr>
          <w:p w:rsidR="000224B7" w:rsidRPr="007E0AEC" w:rsidRDefault="000224B7" w:rsidP="00886F5A"/>
        </w:tc>
        <w:tc>
          <w:tcPr>
            <w:tcW w:w="709" w:type="dxa"/>
          </w:tcPr>
          <w:p w:rsidR="000224B7" w:rsidRPr="007E0AEC" w:rsidRDefault="000224B7" w:rsidP="00886F5A">
            <w:pPr>
              <w:rPr>
                <w:lang w:val="en-GB"/>
              </w:rPr>
            </w:pPr>
          </w:p>
        </w:tc>
        <w:tc>
          <w:tcPr>
            <w:tcW w:w="709" w:type="dxa"/>
          </w:tcPr>
          <w:p w:rsidR="000224B7" w:rsidRPr="007E0AEC" w:rsidRDefault="000224B7" w:rsidP="00886F5A">
            <w:pPr>
              <w:rPr>
                <w:lang w:val="en-GB"/>
              </w:rPr>
            </w:pPr>
          </w:p>
        </w:tc>
        <w:tc>
          <w:tcPr>
            <w:tcW w:w="708"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r>
      <w:tr w:rsidR="000224B7" w:rsidRPr="007E0AEC" w:rsidTr="000224B7">
        <w:tc>
          <w:tcPr>
            <w:tcW w:w="993" w:type="dxa"/>
          </w:tcPr>
          <w:p w:rsidR="000224B7" w:rsidRPr="007E0AEC" w:rsidRDefault="000224B7" w:rsidP="00886F5A">
            <w:r w:rsidRPr="007E0AEC">
              <w:t>FW</w:t>
            </w:r>
          </w:p>
        </w:tc>
        <w:tc>
          <w:tcPr>
            <w:tcW w:w="992" w:type="dxa"/>
          </w:tcPr>
          <w:p w:rsidR="000224B7" w:rsidRPr="007E0AEC" w:rsidRDefault="000224B7" w:rsidP="00886F5A">
            <w:pPr>
              <w:rPr>
                <w:lang w:val="en-GB"/>
              </w:rPr>
            </w:pPr>
            <w:r w:rsidRPr="007E0AEC">
              <w:t>m</w:t>
            </w:r>
            <w:r w:rsidRPr="007E0AEC">
              <w:rPr>
                <w:vertAlign w:val="superscript"/>
              </w:rPr>
              <w:t>3</w:t>
            </w:r>
          </w:p>
        </w:tc>
        <w:tc>
          <w:tcPr>
            <w:tcW w:w="709" w:type="dxa"/>
          </w:tcPr>
          <w:p w:rsidR="000224B7" w:rsidRPr="007E0AEC" w:rsidRDefault="000224B7" w:rsidP="00886F5A"/>
        </w:tc>
        <w:tc>
          <w:tcPr>
            <w:tcW w:w="709" w:type="dxa"/>
          </w:tcPr>
          <w:p w:rsidR="000224B7" w:rsidRPr="007E0AEC" w:rsidRDefault="000224B7" w:rsidP="00886F5A">
            <w:pPr>
              <w:rPr>
                <w:lang w:val="en-GB"/>
              </w:rPr>
            </w:pPr>
          </w:p>
        </w:tc>
        <w:tc>
          <w:tcPr>
            <w:tcW w:w="709" w:type="dxa"/>
          </w:tcPr>
          <w:p w:rsidR="000224B7" w:rsidRPr="007E0AEC" w:rsidRDefault="000224B7" w:rsidP="00886F5A">
            <w:pPr>
              <w:rPr>
                <w:lang w:val="en-GB"/>
              </w:rPr>
            </w:pPr>
          </w:p>
        </w:tc>
        <w:tc>
          <w:tcPr>
            <w:tcW w:w="708"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c>
          <w:tcPr>
            <w:tcW w:w="567" w:type="dxa"/>
          </w:tcPr>
          <w:p w:rsidR="000224B7" w:rsidRPr="007E0AEC" w:rsidRDefault="000224B7" w:rsidP="00886F5A">
            <w:pPr>
              <w:rPr>
                <w:lang w:val="en-GB"/>
              </w:rPr>
            </w:pPr>
          </w:p>
        </w:tc>
      </w:tr>
    </w:tbl>
    <w:p w:rsidR="000224B7" w:rsidRDefault="000224B7" w:rsidP="000224B7"/>
    <w:tbl>
      <w:tblPr>
        <w:tblStyle w:val="Tabellenraster"/>
        <w:tblW w:w="9923" w:type="dxa"/>
        <w:tblInd w:w="108" w:type="dxa"/>
        <w:tblLook w:val="04A0" w:firstRow="1" w:lastRow="0" w:firstColumn="1" w:lastColumn="0" w:noHBand="0" w:noVBand="1"/>
      </w:tblPr>
      <w:tblGrid>
        <w:gridCol w:w="1951"/>
        <w:gridCol w:w="7972"/>
      </w:tblGrid>
      <w:tr w:rsidR="000224B7" w:rsidTr="000224B7">
        <w:trPr>
          <w:trHeight w:val="964"/>
        </w:trPr>
        <w:tc>
          <w:tcPr>
            <w:tcW w:w="1951" w:type="dxa"/>
            <w:vAlign w:val="center"/>
          </w:tcPr>
          <w:p w:rsidR="000224B7" w:rsidRPr="005A579C" w:rsidRDefault="000224B7" w:rsidP="00886F5A">
            <w:pPr>
              <w:rPr>
                <w:sz w:val="16"/>
              </w:rPr>
            </w:pPr>
            <w:r w:rsidRPr="005A579C">
              <w:rPr>
                <w:sz w:val="16"/>
              </w:rPr>
              <w:t>Legende</w:t>
            </w:r>
          </w:p>
        </w:tc>
        <w:tc>
          <w:tcPr>
            <w:tcW w:w="7972" w:type="dxa"/>
            <w:vAlign w:val="center"/>
          </w:tcPr>
          <w:p w:rsidR="000224B7" w:rsidRPr="004619BB" w:rsidRDefault="000224B7" w:rsidP="002D0A88">
            <w:pPr>
              <w:jc w:val="left"/>
              <w:rPr>
                <w:rFonts w:eastAsia="Times New Roman"/>
                <w:lang w:val="de-AT" w:eastAsia="de-AT"/>
              </w:rPr>
            </w:pPr>
            <w:r w:rsidRPr="004619BB">
              <w:rPr>
                <w:rFonts w:eastAsia="Times New Roman"/>
                <w:lang w:val="de-AT"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Pr>
                <w:rFonts w:eastAsia="Times New Roman"/>
                <w:lang w:val="de-AT" w:eastAsia="de-AT"/>
              </w:rPr>
              <w:br/>
            </w:r>
            <w:r w:rsidRPr="004619BB">
              <w:rPr>
                <w:rFonts w:eastAsia="Times New Roman"/>
                <w:lang w:val="de-AT" w:eastAsia="de-AT"/>
              </w:rPr>
              <w:t xml:space="preserve">FW = Einsatz von Süßwasserressourcen </w:t>
            </w:r>
          </w:p>
        </w:tc>
      </w:tr>
    </w:tbl>
    <w:p w:rsidR="000224B7" w:rsidRDefault="000224B7" w:rsidP="000224B7"/>
    <w:p w:rsidR="000224B7" w:rsidRDefault="000224B7" w:rsidP="000224B7"/>
    <w:p w:rsidR="000224B7" w:rsidRDefault="000224B7" w:rsidP="000224B7">
      <w:pPr>
        <w:pStyle w:val="Beschriftung"/>
        <w:keepNext/>
        <w:rPr>
          <w:color w:val="17365D" w:themeColor="text2" w:themeShade="BF"/>
        </w:rPr>
      </w:pPr>
      <w:r w:rsidRPr="005E4D75">
        <w:rPr>
          <w:color w:val="17365D" w:themeColor="text2" w:themeShade="BF"/>
        </w:rPr>
        <w:t xml:space="preserve">Tabelle </w:t>
      </w:r>
      <w:r w:rsidR="008F14A7" w:rsidRPr="005E4D75">
        <w:rPr>
          <w:color w:val="17365D" w:themeColor="text2" w:themeShade="BF"/>
        </w:rPr>
        <w:fldChar w:fldCharType="begin"/>
      </w:r>
      <w:r w:rsidRPr="005E4D75">
        <w:rPr>
          <w:color w:val="17365D" w:themeColor="text2" w:themeShade="BF"/>
        </w:rPr>
        <w:instrText xml:space="preserve"> SEQ Tabelle \* ARABIC </w:instrText>
      </w:r>
      <w:r w:rsidR="008F14A7" w:rsidRPr="005E4D75">
        <w:rPr>
          <w:color w:val="17365D" w:themeColor="text2" w:themeShade="BF"/>
        </w:rPr>
        <w:fldChar w:fldCharType="separate"/>
      </w:r>
      <w:r w:rsidR="00380BCC">
        <w:rPr>
          <w:noProof/>
          <w:color w:val="17365D" w:themeColor="text2" w:themeShade="BF"/>
        </w:rPr>
        <w:t>14</w:t>
      </w:r>
      <w:r w:rsidR="008F14A7" w:rsidRPr="005E4D75">
        <w:rPr>
          <w:color w:val="17365D" w:themeColor="text2" w:themeShade="BF"/>
        </w:rPr>
        <w:fldChar w:fldCharType="end"/>
      </w:r>
      <w:r w:rsidRPr="005E4D75">
        <w:rPr>
          <w:color w:val="17365D" w:themeColor="text2" w:themeShade="BF"/>
        </w:rPr>
        <w:t>: Parameter zur Beschreibung von Abfallkategorien</w:t>
      </w:r>
      <w:bookmarkEnd w:id="41"/>
    </w:p>
    <w:tbl>
      <w:tblPr>
        <w:tblStyle w:val="Tabellenraster"/>
        <w:tblW w:w="9923" w:type="dxa"/>
        <w:tblInd w:w="108" w:type="dxa"/>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0224B7" w:rsidRPr="004619BB" w:rsidTr="000224B7">
        <w:tc>
          <w:tcPr>
            <w:tcW w:w="851" w:type="dxa"/>
            <w:shd w:val="clear" w:color="auto" w:fill="8DB3E2" w:themeFill="text2" w:themeFillTint="66"/>
          </w:tcPr>
          <w:p w:rsidR="000224B7" w:rsidRPr="004619BB" w:rsidRDefault="000224B7" w:rsidP="00886F5A">
            <w:pPr>
              <w:rPr>
                <w:b/>
              </w:rPr>
            </w:pPr>
            <w:r w:rsidRPr="004619BB">
              <w:rPr>
                <w:b/>
              </w:rPr>
              <w:t>Para-meter</w:t>
            </w:r>
          </w:p>
        </w:tc>
        <w:tc>
          <w:tcPr>
            <w:tcW w:w="1134" w:type="dxa"/>
            <w:shd w:val="clear" w:color="auto" w:fill="8DB3E2" w:themeFill="text2" w:themeFillTint="66"/>
          </w:tcPr>
          <w:p w:rsidR="000224B7" w:rsidRPr="004619BB" w:rsidRDefault="000224B7" w:rsidP="00886F5A">
            <w:pPr>
              <w:rPr>
                <w:b/>
              </w:rPr>
            </w:pPr>
            <w:r w:rsidRPr="004619BB">
              <w:rPr>
                <w:b/>
              </w:rPr>
              <w:t>Einheit</w:t>
            </w:r>
          </w:p>
        </w:tc>
        <w:tc>
          <w:tcPr>
            <w:tcW w:w="709" w:type="dxa"/>
            <w:shd w:val="clear" w:color="auto" w:fill="8DB3E2" w:themeFill="text2" w:themeFillTint="66"/>
          </w:tcPr>
          <w:p w:rsidR="000224B7" w:rsidRPr="004619BB" w:rsidRDefault="000224B7" w:rsidP="00886F5A">
            <w:pPr>
              <w:rPr>
                <w:b/>
              </w:rPr>
            </w:pPr>
            <w:r w:rsidRPr="004619BB">
              <w:rPr>
                <w:b/>
              </w:rPr>
              <w:t>A1-A3</w:t>
            </w:r>
          </w:p>
        </w:tc>
        <w:tc>
          <w:tcPr>
            <w:tcW w:w="709" w:type="dxa"/>
            <w:shd w:val="clear" w:color="auto" w:fill="8DB3E2" w:themeFill="text2" w:themeFillTint="66"/>
          </w:tcPr>
          <w:p w:rsidR="000224B7" w:rsidRPr="004619BB" w:rsidRDefault="000224B7" w:rsidP="00886F5A">
            <w:pPr>
              <w:rPr>
                <w:b/>
              </w:rPr>
            </w:pPr>
            <w:r w:rsidRPr="004619BB">
              <w:rPr>
                <w:b/>
              </w:rPr>
              <w:t>A4</w:t>
            </w:r>
          </w:p>
        </w:tc>
        <w:tc>
          <w:tcPr>
            <w:tcW w:w="709" w:type="dxa"/>
            <w:shd w:val="clear" w:color="auto" w:fill="8DB3E2" w:themeFill="text2" w:themeFillTint="66"/>
          </w:tcPr>
          <w:p w:rsidR="000224B7" w:rsidRPr="004619BB" w:rsidRDefault="000224B7" w:rsidP="00886F5A">
            <w:pPr>
              <w:rPr>
                <w:b/>
              </w:rPr>
            </w:pPr>
            <w:r w:rsidRPr="004619BB">
              <w:rPr>
                <w:b/>
              </w:rPr>
              <w:t>A5</w:t>
            </w:r>
          </w:p>
        </w:tc>
        <w:tc>
          <w:tcPr>
            <w:tcW w:w="708" w:type="dxa"/>
            <w:shd w:val="clear" w:color="auto" w:fill="8DB3E2" w:themeFill="text2" w:themeFillTint="66"/>
          </w:tcPr>
          <w:p w:rsidR="000224B7" w:rsidRPr="004619BB" w:rsidRDefault="000224B7" w:rsidP="00886F5A">
            <w:pPr>
              <w:rPr>
                <w:b/>
              </w:rPr>
            </w:pPr>
            <w:r w:rsidRPr="004619BB">
              <w:rPr>
                <w:b/>
              </w:rPr>
              <w:t>B1</w:t>
            </w:r>
          </w:p>
        </w:tc>
        <w:tc>
          <w:tcPr>
            <w:tcW w:w="567" w:type="dxa"/>
            <w:shd w:val="clear" w:color="auto" w:fill="8DB3E2" w:themeFill="text2" w:themeFillTint="66"/>
          </w:tcPr>
          <w:p w:rsidR="000224B7" w:rsidRPr="004619BB" w:rsidRDefault="000224B7" w:rsidP="00886F5A">
            <w:pPr>
              <w:rPr>
                <w:b/>
              </w:rPr>
            </w:pPr>
            <w:r w:rsidRPr="004619BB">
              <w:rPr>
                <w:b/>
              </w:rPr>
              <w:t>B2</w:t>
            </w:r>
          </w:p>
        </w:tc>
        <w:tc>
          <w:tcPr>
            <w:tcW w:w="567" w:type="dxa"/>
            <w:shd w:val="clear" w:color="auto" w:fill="8DB3E2" w:themeFill="text2" w:themeFillTint="66"/>
          </w:tcPr>
          <w:p w:rsidR="000224B7" w:rsidRPr="004619BB" w:rsidRDefault="000224B7" w:rsidP="00886F5A">
            <w:pPr>
              <w:rPr>
                <w:b/>
              </w:rPr>
            </w:pPr>
            <w:r w:rsidRPr="004619BB">
              <w:rPr>
                <w:b/>
              </w:rPr>
              <w:t>B5</w:t>
            </w:r>
          </w:p>
        </w:tc>
        <w:tc>
          <w:tcPr>
            <w:tcW w:w="567" w:type="dxa"/>
            <w:shd w:val="clear" w:color="auto" w:fill="8DB3E2" w:themeFill="text2" w:themeFillTint="66"/>
          </w:tcPr>
          <w:p w:rsidR="000224B7" w:rsidRPr="004619BB" w:rsidRDefault="000224B7" w:rsidP="00886F5A">
            <w:pPr>
              <w:rPr>
                <w:b/>
              </w:rPr>
            </w:pPr>
            <w:r w:rsidRPr="004619BB">
              <w:rPr>
                <w:b/>
              </w:rPr>
              <w:t>B6</w:t>
            </w:r>
          </w:p>
        </w:tc>
        <w:tc>
          <w:tcPr>
            <w:tcW w:w="567" w:type="dxa"/>
            <w:shd w:val="clear" w:color="auto" w:fill="8DB3E2" w:themeFill="text2" w:themeFillTint="66"/>
          </w:tcPr>
          <w:p w:rsidR="000224B7" w:rsidRPr="004619BB" w:rsidRDefault="000224B7" w:rsidP="00886F5A">
            <w:pPr>
              <w:rPr>
                <w:b/>
              </w:rPr>
            </w:pPr>
            <w:r w:rsidRPr="004619BB">
              <w:rPr>
                <w:b/>
              </w:rPr>
              <w:t>B7</w:t>
            </w:r>
          </w:p>
        </w:tc>
        <w:tc>
          <w:tcPr>
            <w:tcW w:w="567" w:type="dxa"/>
            <w:shd w:val="clear" w:color="auto" w:fill="8DB3E2" w:themeFill="text2" w:themeFillTint="66"/>
          </w:tcPr>
          <w:p w:rsidR="000224B7" w:rsidRPr="004619BB" w:rsidRDefault="000224B7" w:rsidP="00886F5A">
            <w:pPr>
              <w:rPr>
                <w:b/>
              </w:rPr>
            </w:pPr>
            <w:r w:rsidRPr="004619BB">
              <w:rPr>
                <w:b/>
              </w:rPr>
              <w:t>C1</w:t>
            </w:r>
          </w:p>
        </w:tc>
        <w:tc>
          <w:tcPr>
            <w:tcW w:w="567" w:type="dxa"/>
            <w:shd w:val="clear" w:color="auto" w:fill="8DB3E2" w:themeFill="text2" w:themeFillTint="66"/>
          </w:tcPr>
          <w:p w:rsidR="000224B7" w:rsidRPr="004619BB" w:rsidRDefault="000224B7" w:rsidP="00886F5A">
            <w:pPr>
              <w:rPr>
                <w:b/>
              </w:rPr>
            </w:pPr>
            <w:r w:rsidRPr="004619BB">
              <w:rPr>
                <w:b/>
              </w:rPr>
              <w:t>C2</w:t>
            </w:r>
          </w:p>
        </w:tc>
        <w:tc>
          <w:tcPr>
            <w:tcW w:w="567" w:type="dxa"/>
            <w:shd w:val="clear" w:color="auto" w:fill="8DB3E2" w:themeFill="text2" w:themeFillTint="66"/>
          </w:tcPr>
          <w:p w:rsidR="000224B7" w:rsidRPr="004619BB" w:rsidRDefault="000224B7" w:rsidP="00886F5A">
            <w:pPr>
              <w:rPr>
                <w:b/>
              </w:rPr>
            </w:pPr>
            <w:r w:rsidRPr="004619BB">
              <w:rPr>
                <w:b/>
              </w:rPr>
              <w:t>C3</w:t>
            </w:r>
          </w:p>
        </w:tc>
        <w:tc>
          <w:tcPr>
            <w:tcW w:w="567" w:type="dxa"/>
            <w:shd w:val="clear" w:color="auto" w:fill="8DB3E2" w:themeFill="text2" w:themeFillTint="66"/>
          </w:tcPr>
          <w:p w:rsidR="000224B7" w:rsidRPr="004619BB" w:rsidRDefault="000224B7" w:rsidP="00886F5A">
            <w:pPr>
              <w:rPr>
                <w:b/>
              </w:rPr>
            </w:pPr>
            <w:r w:rsidRPr="004619BB">
              <w:rPr>
                <w:b/>
              </w:rPr>
              <w:t>C4</w:t>
            </w:r>
          </w:p>
        </w:tc>
        <w:tc>
          <w:tcPr>
            <w:tcW w:w="567" w:type="dxa"/>
            <w:shd w:val="clear" w:color="auto" w:fill="8DB3E2" w:themeFill="text2" w:themeFillTint="66"/>
          </w:tcPr>
          <w:p w:rsidR="000224B7" w:rsidRPr="004619BB" w:rsidRDefault="000224B7" w:rsidP="00886F5A">
            <w:pPr>
              <w:rPr>
                <w:b/>
              </w:rPr>
            </w:pPr>
            <w:r w:rsidRPr="004619BB">
              <w:rPr>
                <w:b/>
              </w:rPr>
              <w:t>D</w:t>
            </w:r>
          </w:p>
        </w:tc>
      </w:tr>
      <w:tr w:rsidR="000224B7" w:rsidRPr="007E0AEC" w:rsidTr="000224B7">
        <w:tc>
          <w:tcPr>
            <w:tcW w:w="851" w:type="dxa"/>
          </w:tcPr>
          <w:p w:rsidR="000224B7" w:rsidRPr="007E0AEC" w:rsidRDefault="000224B7" w:rsidP="00886F5A">
            <w:pPr>
              <w:rPr>
                <w:lang w:eastAsia="de-AT"/>
              </w:rPr>
            </w:pPr>
            <w:r w:rsidRPr="007E0AEC">
              <w:rPr>
                <w:lang w:eastAsia="de-AT"/>
              </w:rPr>
              <w:t>HWD</w:t>
            </w:r>
          </w:p>
        </w:tc>
        <w:tc>
          <w:tcPr>
            <w:tcW w:w="1134" w:type="dxa"/>
          </w:tcPr>
          <w:p w:rsidR="000224B7" w:rsidRPr="007E0AEC" w:rsidRDefault="000224B7" w:rsidP="00886F5A">
            <w:r w:rsidRPr="007E0AEC">
              <w:t>kg</w:t>
            </w:r>
          </w:p>
        </w:tc>
        <w:tc>
          <w:tcPr>
            <w:tcW w:w="709" w:type="dxa"/>
          </w:tcPr>
          <w:p w:rsidR="000224B7" w:rsidRPr="007E0AEC" w:rsidRDefault="000224B7" w:rsidP="00886F5A"/>
        </w:tc>
        <w:tc>
          <w:tcPr>
            <w:tcW w:w="709" w:type="dxa"/>
          </w:tcPr>
          <w:p w:rsidR="000224B7" w:rsidRPr="007E0AEC" w:rsidRDefault="000224B7" w:rsidP="00886F5A"/>
        </w:tc>
        <w:tc>
          <w:tcPr>
            <w:tcW w:w="709" w:type="dxa"/>
          </w:tcPr>
          <w:p w:rsidR="000224B7" w:rsidRPr="007E0AEC" w:rsidRDefault="000224B7" w:rsidP="00886F5A"/>
        </w:tc>
        <w:tc>
          <w:tcPr>
            <w:tcW w:w="708"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r w:rsidR="000224B7" w:rsidRPr="007E0AEC" w:rsidTr="000224B7">
        <w:tc>
          <w:tcPr>
            <w:tcW w:w="851" w:type="dxa"/>
          </w:tcPr>
          <w:p w:rsidR="000224B7" w:rsidRPr="007E0AEC" w:rsidRDefault="000224B7" w:rsidP="00886F5A">
            <w:pPr>
              <w:rPr>
                <w:lang w:eastAsia="de-AT"/>
              </w:rPr>
            </w:pPr>
            <w:r w:rsidRPr="007E0AEC">
              <w:rPr>
                <w:lang w:eastAsia="de-AT"/>
              </w:rPr>
              <w:t>NHWD</w:t>
            </w:r>
          </w:p>
        </w:tc>
        <w:tc>
          <w:tcPr>
            <w:tcW w:w="1134" w:type="dxa"/>
          </w:tcPr>
          <w:p w:rsidR="000224B7" w:rsidRPr="007E0AEC" w:rsidRDefault="000224B7" w:rsidP="00886F5A">
            <w:r w:rsidRPr="007E0AEC">
              <w:t>kg</w:t>
            </w:r>
          </w:p>
        </w:tc>
        <w:tc>
          <w:tcPr>
            <w:tcW w:w="709" w:type="dxa"/>
          </w:tcPr>
          <w:p w:rsidR="000224B7" w:rsidRPr="007E0AEC" w:rsidRDefault="000224B7" w:rsidP="00886F5A"/>
        </w:tc>
        <w:tc>
          <w:tcPr>
            <w:tcW w:w="709" w:type="dxa"/>
          </w:tcPr>
          <w:p w:rsidR="000224B7" w:rsidRPr="007E0AEC" w:rsidRDefault="000224B7" w:rsidP="00886F5A"/>
        </w:tc>
        <w:tc>
          <w:tcPr>
            <w:tcW w:w="709" w:type="dxa"/>
          </w:tcPr>
          <w:p w:rsidR="000224B7" w:rsidRPr="007E0AEC" w:rsidRDefault="000224B7" w:rsidP="00886F5A"/>
        </w:tc>
        <w:tc>
          <w:tcPr>
            <w:tcW w:w="708"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r w:rsidR="000224B7" w:rsidRPr="007E0AEC" w:rsidTr="000224B7">
        <w:tc>
          <w:tcPr>
            <w:tcW w:w="851" w:type="dxa"/>
          </w:tcPr>
          <w:p w:rsidR="000224B7" w:rsidRPr="007E0AEC" w:rsidRDefault="000224B7" w:rsidP="00886F5A">
            <w:pPr>
              <w:rPr>
                <w:lang w:eastAsia="de-AT"/>
              </w:rPr>
            </w:pPr>
            <w:r w:rsidRPr="007E0AEC">
              <w:rPr>
                <w:lang w:eastAsia="de-AT"/>
              </w:rPr>
              <w:t>RWD</w:t>
            </w:r>
          </w:p>
        </w:tc>
        <w:tc>
          <w:tcPr>
            <w:tcW w:w="1134" w:type="dxa"/>
          </w:tcPr>
          <w:p w:rsidR="000224B7" w:rsidRPr="007E0AEC" w:rsidRDefault="000224B7" w:rsidP="00886F5A">
            <w:r w:rsidRPr="007E0AEC">
              <w:t>k</w:t>
            </w:r>
            <w:r w:rsidRPr="007E0AEC">
              <w:rPr>
                <w:lang w:val="en-GB"/>
              </w:rPr>
              <w:t>g</w:t>
            </w:r>
          </w:p>
        </w:tc>
        <w:tc>
          <w:tcPr>
            <w:tcW w:w="709" w:type="dxa"/>
          </w:tcPr>
          <w:p w:rsidR="000224B7" w:rsidRPr="007E0AEC" w:rsidRDefault="000224B7" w:rsidP="00886F5A"/>
        </w:tc>
        <w:tc>
          <w:tcPr>
            <w:tcW w:w="709" w:type="dxa"/>
          </w:tcPr>
          <w:p w:rsidR="000224B7" w:rsidRPr="007E0AEC" w:rsidRDefault="000224B7" w:rsidP="00886F5A"/>
        </w:tc>
        <w:tc>
          <w:tcPr>
            <w:tcW w:w="709" w:type="dxa"/>
          </w:tcPr>
          <w:p w:rsidR="000224B7" w:rsidRPr="007E0AEC" w:rsidRDefault="000224B7" w:rsidP="00886F5A"/>
        </w:tc>
        <w:tc>
          <w:tcPr>
            <w:tcW w:w="708"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bl>
    <w:p w:rsidR="000224B7" w:rsidRDefault="000224B7" w:rsidP="000224B7"/>
    <w:tbl>
      <w:tblPr>
        <w:tblStyle w:val="Tabellenraster"/>
        <w:tblW w:w="9923" w:type="dxa"/>
        <w:tblInd w:w="108" w:type="dxa"/>
        <w:tblLook w:val="04A0" w:firstRow="1" w:lastRow="0" w:firstColumn="1" w:lastColumn="0" w:noHBand="0" w:noVBand="1"/>
      </w:tblPr>
      <w:tblGrid>
        <w:gridCol w:w="1951"/>
        <w:gridCol w:w="7972"/>
      </w:tblGrid>
      <w:tr w:rsidR="000224B7" w:rsidTr="000224B7">
        <w:trPr>
          <w:trHeight w:val="567"/>
        </w:trPr>
        <w:tc>
          <w:tcPr>
            <w:tcW w:w="1951" w:type="dxa"/>
            <w:vAlign w:val="center"/>
          </w:tcPr>
          <w:p w:rsidR="000224B7" w:rsidRPr="005A579C" w:rsidRDefault="000224B7" w:rsidP="00886F5A">
            <w:pPr>
              <w:rPr>
                <w:sz w:val="16"/>
              </w:rPr>
            </w:pPr>
            <w:r w:rsidRPr="005A579C">
              <w:rPr>
                <w:sz w:val="16"/>
              </w:rPr>
              <w:t>Legende</w:t>
            </w:r>
          </w:p>
        </w:tc>
        <w:tc>
          <w:tcPr>
            <w:tcW w:w="7972" w:type="dxa"/>
            <w:vAlign w:val="center"/>
          </w:tcPr>
          <w:p w:rsidR="002D0A88" w:rsidRDefault="000224B7" w:rsidP="00886F5A">
            <w:r>
              <w:t xml:space="preserve">HWD = Gefährlicher Abfall zur Deponie; NHWD = Entsorgter nicht gefährlicher Abfall; </w:t>
            </w:r>
          </w:p>
          <w:p w:rsidR="000224B7" w:rsidRPr="004619BB" w:rsidRDefault="000224B7" w:rsidP="00886F5A">
            <w:pPr>
              <w:rPr>
                <w:rFonts w:eastAsia="Times New Roman"/>
                <w:lang w:val="de-AT" w:eastAsia="de-AT"/>
              </w:rPr>
            </w:pPr>
            <w:r>
              <w:t>RWD = Entsorgter radioaktiver Abfall;</w:t>
            </w:r>
          </w:p>
        </w:tc>
      </w:tr>
    </w:tbl>
    <w:p w:rsidR="000224B7" w:rsidRDefault="000224B7" w:rsidP="000224B7"/>
    <w:p w:rsidR="000224B7" w:rsidRDefault="000224B7" w:rsidP="000224B7">
      <w:bookmarkStart w:id="42" w:name="_Toc336404912"/>
    </w:p>
    <w:p w:rsidR="000224B7" w:rsidRDefault="000224B7" w:rsidP="000224B7">
      <w:pPr>
        <w:pStyle w:val="Beschriftung"/>
        <w:keepNext/>
        <w:rPr>
          <w:color w:val="17365D" w:themeColor="text2" w:themeShade="BF"/>
        </w:rPr>
      </w:pPr>
      <w:r w:rsidRPr="005E4D75">
        <w:rPr>
          <w:color w:val="17365D" w:themeColor="text2" w:themeShade="BF"/>
        </w:rPr>
        <w:t xml:space="preserve">Tabelle </w:t>
      </w:r>
      <w:r w:rsidR="008F14A7" w:rsidRPr="005E4D75">
        <w:rPr>
          <w:color w:val="17365D" w:themeColor="text2" w:themeShade="BF"/>
        </w:rPr>
        <w:fldChar w:fldCharType="begin"/>
      </w:r>
      <w:r w:rsidRPr="005E4D75">
        <w:rPr>
          <w:color w:val="17365D" w:themeColor="text2" w:themeShade="BF"/>
        </w:rPr>
        <w:instrText xml:space="preserve"> SEQ Tabelle \* ARABIC </w:instrText>
      </w:r>
      <w:r w:rsidR="008F14A7" w:rsidRPr="005E4D75">
        <w:rPr>
          <w:color w:val="17365D" w:themeColor="text2" w:themeShade="BF"/>
        </w:rPr>
        <w:fldChar w:fldCharType="separate"/>
      </w:r>
      <w:r w:rsidR="00380BCC">
        <w:rPr>
          <w:noProof/>
          <w:color w:val="17365D" w:themeColor="text2" w:themeShade="BF"/>
        </w:rPr>
        <w:t>15</w:t>
      </w:r>
      <w:r w:rsidR="008F14A7" w:rsidRPr="005E4D75">
        <w:rPr>
          <w:color w:val="17365D" w:themeColor="text2" w:themeShade="BF"/>
        </w:rPr>
        <w:fldChar w:fldCharType="end"/>
      </w:r>
      <w:r w:rsidRPr="005E4D75">
        <w:rPr>
          <w:color w:val="17365D" w:themeColor="text2" w:themeShade="BF"/>
        </w:rPr>
        <w:t>: Parameter zur Beschreibung des Verwertungspotenzials in der Entsorgungsphase</w:t>
      </w:r>
      <w:bookmarkEnd w:id="42"/>
    </w:p>
    <w:tbl>
      <w:tblPr>
        <w:tblStyle w:val="Tabellenraster"/>
        <w:tblW w:w="9923" w:type="dxa"/>
        <w:tblInd w:w="108" w:type="dxa"/>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0224B7" w:rsidRPr="004619BB" w:rsidTr="000224B7">
        <w:tc>
          <w:tcPr>
            <w:tcW w:w="851" w:type="dxa"/>
            <w:shd w:val="clear" w:color="auto" w:fill="8DB3E2" w:themeFill="text2" w:themeFillTint="66"/>
          </w:tcPr>
          <w:p w:rsidR="000224B7" w:rsidRPr="004619BB" w:rsidRDefault="000224B7" w:rsidP="00886F5A">
            <w:pPr>
              <w:rPr>
                <w:b/>
              </w:rPr>
            </w:pPr>
            <w:r w:rsidRPr="004619BB">
              <w:rPr>
                <w:b/>
              </w:rPr>
              <w:t>Para-meter</w:t>
            </w:r>
          </w:p>
        </w:tc>
        <w:tc>
          <w:tcPr>
            <w:tcW w:w="1134" w:type="dxa"/>
            <w:shd w:val="clear" w:color="auto" w:fill="8DB3E2" w:themeFill="text2" w:themeFillTint="66"/>
          </w:tcPr>
          <w:p w:rsidR="000224B7" w:rsidRPr="004619BB" w:rsidRDefault="000224B7" w:rsidP="00886F5A">
            <w:pPr>
              <w:rPr>
                <w:b/>
              </w:rPr>
            </w:pPr>
            <w:r w:rsidRPr="004619BB">
              <w:rPr>
                <w:b/>
              </w:rPr>
              <w:t>Einheit</w:t>
            </w:r>
          </w:p>
        </w:tc>
        <w:tc>
          <w:tcPr>
            <w:tcW w:w="709" w:type="dxa"/>
            <w:shd w:val="clear" w:color="auto" w:fill="8DB3E2" w:themeFill="text2" w:themeFillTint="66"/>
          </w:tcPr>
          <w:p w:rsidR="000224B7" w:rsidRPr="004619BB" w:rsidRDefault="000224B7" w:rsidP="00886F5A">
            <w:pPr>
              <w:rPr>
                <w:b/>
              </w:rPr>
            </w:pPr>
            <w:r w:rsidRPr="004619BB">
              <w:rPr>
                <w:b/>
              </w:rPr>
              <w:t>A1-A3</w:t>
            </w:r>
          </w:p>
        </w:tc>
        <w:tc>
          <w:tcPr>
            <w:tcW w:w="709" w:type="dxa"/>
            <w:shd w:val="clear" w:color="auto" w:fill="8DB3E2" w:themeFill="text2" w:themeFillTint="66"/>
          </w:tcPr>
          <w:p w:rsidR="000224B7" w:rsidRPr="004619BB" w:rsidRDefault="000224B7" w:rsidP="00886F5A">
            <w:pPr>
              <w:rPr>
                <w:b/>
              </w:rPr>
            </w:pPr>
            <w:r w:rsidRPr="004619BB">
              <w:rPr>
                <w:b/>
              </w:rPr>
              <w:t>A4</w:t>
            </w:r>
          </w:p>
        </w:tc>
        <w:tc>
          <w:tcPr>
            <w:tcW w:w="709" w:type="dxa"/>
            <w:shd w:val="clear" w:color="auto" w:fill="8DB3E2" w:themeFill="text2" w:themeFillTint="66"/>
          </w:tcPr>
          <w:p w:rsidR="000224B7" w:rsidRPr="004619BB" w:rsidRDefault="000224B7" w:rsidP="00886F5A">
            <w:pPr>
              <w:rPr>
                <w:b/>
              </w:rPr>
            </w:pPr>
            <w:r w:rsidRPr="004619BB">
              <w:rPr>
                <w:b/>
              </w:rPr>
              <w:t>A5</w:t>
            </w:r>
          </w:p>
        </w:tc>
        <w:tc>
          <w:tcPr>
            <w:tcW w:w="708" w:type="dxa"/>
            <w:shd w:val="clear" w:color="auto" w:fill="8DB3E2" w:themeFill="text2" w:themeFillTint="66"/>
          </w:tcPr>
          <w:p w:rsidR="000224B7" w:rsidRPr="004619BB" w:rsidRDefault="000224B7" w:rsidP="00886F5A">
            <w:pPr>
              <w:rPr>
                <w:b/>
              </w:rPr>
            </w:pPr>
            <w:r w:rsidRPr="004619BB">
              <w:rPr>
                <w:b/>
              </w:rPr>
              <w:t>B1</w:t>
            </w:r>
          </w:p>
        </w:tc>
        <w:tc>
          <w:tcPr>
            <w:tcW w:w="567" w:type="dxa"/>
            <w:shd w:val="clear" w:color="auto" w:fill="8DB3E2" w:themeFill="text2" w:themeFillTint="66"/>
          </w:tcPr>
          <w:p w:rsidR="000224B7" w:rsidRPr="004619BB" w:rsidRDefault="000224B7" w:rsidP="00886F5A">
            <w:pPr>
              <w:rPr>
                <w:b/>
              </w:rPr>
            </w:pPr>
            <w:r w:rsidRPr="004619BB">
              <w:rPr>
                <w:b/>
              </w:rPr>
              <w:t>B2</w:t>
            </w:r>
          </w:p>
        </w:tc>
        <w:tc>
          <w:tcPr>
            <w:tcW w:w="567" w:type="dxa"/>
            <w:shd w:val="clear" w:color="auto" w:fill="8DB3E2" w:themeFill="text2" w:themeFillTint="66"/>
          </w:tcPr>
          <w:p w:rsidR="000224B7" w:rsidRPr="004619BB" w:rsidRDefault="000224B7" w:rsidP="00886F5A">
            <w:pPr>
              <w:rPr>
                <w:b/>
              </w:rPr>
            </w:pPr>
            <w:r w:rsidRPr="004619BB">
              <w:rPr>
                <w:b/>
              </w:rPr>
              <w:t>B5</w:t>
            </w:r>
          </w:p>
        </w:tc>
        <w:tc>
          <w:tcPr>
            <w:tcW w:w="567" w:type="dxa"/>
            <w:shd w:val="clear" w:color="auto" w:fill="8DB3E2" w:themeFill="text2" w:themeFillTint="66"/>
          </w:tcPr>
          <w:p w:rsidR="000224B7" w:rsidRPr="004619BB" w:rsidRDefault="000224B7" w:rsidP="00886F5A">
            <w:pPr>
              <w:rPr>
                <w:b/>
              </w:rPr>
            </w:pPr>
            <w:r w:rsidRPr="004619BB">
              <w:rPr>
                <w:b/>
              </w:rPr>
              <w:t>B6</w:t>
            </w:r>
          </w:p>
        </w:tc>
        <w:tc>
          <w:tcPr>
            <w:tcW w:w="567" w:type="dxa"/>
            <w:shd w:val="clear" w:color="auto" w:fill="8DB3E2" w:themeFill="text2" w:themeFillTint="66"/>
          </w:tcPr>
          <w:p w:rsidR="000224B7" w:rsidRPr="004619BB" w:rsidRDefault="000224B7" w:rsidP="00886F5A">
            <w:pPr>
              <w:rPr>
                <w:b/>
              </w:rPr>
            </w:pPr>
            <w:r w:rsidRPr="004619BB">
              <w:rPr>
                <w:b/>
              </w:rPr>
              <w:t>B7</w:t>
            </w:r>
          </w:p>
        </w:tc>
        <w:tc>
          <w:tcPr>
            <w:tcW w:w="567" w:type="dxa"/>
            <w:shd w:val="clear" w:color="auto" w:fill="8DB3E2" w:themeFill="text2" w:themeFillTint="66"/>
          </w:tcPr>
          <w:p w:rsidR="000224B7" w:rsidRPr="004619BB" w:rsidRDefault="000224B7" w:rsidP="00886F5A">
            <w:pPr>
              <w:rPr>
                <w:b/>
              </w:rPr>
            </w:pPr>
            <w:r w:rsidRPr="004619BB">
              <w:rPr>
                <w:b/>
              </w:rPr>
              <w:t>C1</w:t>
            </w:r>
          </w:p>
        </w:tc>
        <w:tc>
          <w:tcPr>
            <w:tcW w:w="567" w:type="dxa"/>
            <w:shd w:val="clear" w:color="auto" w:fill="8DB3E2" w:themeFill="text2" w:themeFillTint="66"/>
          </w:tcPr>
          <w:p w:rsidR="000224B7" w:rsidRPr="004619BB" w:rsidRDefault="000224B7" w:rsidP="00886F5A">
            <w:pPr>
              <w:rPr>
                <w:b/>
              </w:rPr>
            </w:pPr>
            <w:r w:rsidRPr="004619BB">
              <w:rPr>
                <w:b/>
              </w:rPr>
              <w:t>C2</w:t>
            </w:r>
          </w:p>
        </w:tc>
        <w:tc>
          <w:tcPr>
            <w:tcW w:w="567" w:type="dxa"/>
            <w:shd w:val="clear" w:color="auto" w:fill="8DB3E2" w:themeFill="text2" w:themeFillTint="66"/>
          </w:tcPr>
          <w:p w:rsidR="000224B7" w:rsidRPr="004619BB" w:rsidRDefault="000224B7" w:rsidP="00886F5A">
            <w:pPr>
              <w:rPr>
                <w:b/>
              </w:rPr>
            </w:pPr>
            <w:r w:rsidRPr="004619BB">
              <w:rPr>
                <w:b/>
              </w:rPr>
              <w:t>C3</w:t>
            </w:r>
          </w:p>
        </w:tc>
        <w:tc>
          <w:tcPr>
            <w:tcW w:w="567" w:type="dxa"/>
            <w:shd w:val="clear" w:color="auto" w:fill="8DB3E2" w:themeFill="text2" w:themeFillTint="66"/>
          </w:tcPr>
          <w:p w:rsidR="000224B7" w:rsidRPr="004619BB" w:rsidRDefault="000224B7" w:rsidP="00886F5A">
            <w:pPr>
              <w:rPr>
                <w:b/>
              </w:rPr>
            </w:pPr>
            <w:r w:rsidRPr="004619BB">
              <w:rPr>
                <w:b/>
              </w:rPr>
              <w:t>C4</w:t>
            </w:r>
          </w:p>
        </w:tc>
        <w:tc>
          <w:tcPr>
            <w:tcW w:w="567" w:type="dxa"/>
            <w:shd w:val="clear" w:color="auto" w:fill="8DB3E2" w:themeFill="text2" w:themeFillTint="66"/>
          </w:tcPr>
          <w:p w:rsidR="000224B7" w:rsidRPr="004619BB" w:rsidRDefault="000224B7" w:rsidP="00886F5A">
            <w:pPr>
              <w:rPr>
                <w:b/>
              </w:rPr>
            </w:pPr>
            <w:r w:rsidRPr="004619BB">
              <w:rPr>
                <w:b/>
              </w:rPr>
              <w:t>D</w:t>
            </w:r>
          </w:p>
        </w:tc>
      </w:tr>
      <w:tr w:rsidR="000224B7" w:rsidRPr="007E0AEC" w:rsidTr="000224B7">
        <w:tc>
          <w:tcPr>
            <w:tcW w:w="851" w:type="dxa"/>
          </w:tcPr>
          <w:p w:rsidR="000224B7" w:rsidRPr="007E0AEC" w:rsidRDefault="000224B7" w:rsidP="00886F5A">
            <w:pPr>
              <w:rPr>
                <w:lang w:eastAsia="de-AT"/>
              </w:rPr>
            </w:pPr>
            <w:r w:rsidRPr="007E0AEC">
              <w:rPr>
                <w:lang w:eastAsia="de-AT"/>
              </w:rPr>
              <w:t>CRU</w:t>
            </w:r>
          </w:p>
        </w:tc>
        <w:tc>
          <w:tcPr>
            <w:tcW w:w="1134" w:type="dxa"/>
          </w:tcPr>
          <w:p w:rsidR="000224B7" w:rsidRPr="007E0AEC" w:rsidRDefault="000224B7" w:rsidP="00886F5A">
            <w:r w:rsidRPr="007E0AEC">
              <w:t>kg</w:t>
            </w:r>
          </w:p>
        </w:tc>
        <w:tc>
          <w:tcPr>
            <w:tcW w:w="709" w:type="dxa"/>
          </w:tcPr>
          <w:p w:rsidR="000224B7" w:rsidRPr="007E0AEC" w:rsidRDefault="000224B7" w:rsidP="00886F5A"/>
        </w:tc>
        <w:tc>
          <w:tcPr>
            <w:tcW w:w="709" w:type="dxa"/>
          </w:tcPr>
          <w:p w:rsidR="000224B7" w:rsidRPr="007E0AEC" w:rsidRDefault="000224B7" w:rsidP="00886F5A"/>
        </w:tc>
        <w:tc>
          <w:tcPr>
            <w:tcW w:w="709" w:type="dxa"/>
          </w:tcPr>
          <w:p w:rsidR="000224B7" w:rsidRPr="007E0AEC" w:rsidRDefault="000224B7" w:rsidP="00886F5A"/>
        </w:tc>
        <w:tc>
          <w:tcPr>
            <w:tcW w:w="708"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r w:rsidR="000224B7" w:rsidRPr="007E0AEC" w:rsidTr="000224B7">
        <w:tc>
          <w:tcPr>
            <w:tcW w:w="851" w:type="dxa"/>
          </w:tcPr>
          <w:p w:rsidR="000224B7" w:rsidRPr="007E0AEC" w:rsidRDefault="000224B7" w:rsidP="00886F5A">
            <w:pPr>
              <w:rPr>
                <w:lang w:eastAsia="de-AT"/>
              </w:rPr>
            </w:pPr>
            <w:r w:rsidRPr="007E0AEC">
              <w:rPr>
                <w:lang w:eastAsia="de-AT"/>
              </w:rPr>
              <w:t>MFR</w:t>
            </w:r>
          </w:p>
        </w:tc>
        <w:tc>
          <w:tcPr>
            <w:tcW w:w="1134" w:type="dxa"/>
          </w:tcPr>
          <w:p w:rsidR="000224B7" w:rsidRPr="007E0AEC" w:rsidRDefault="000224B7" w:rsidP="00886F5A">
            <w:r w:rsidRPr="007E0AEC">
              <w:t>kg</w:t>
            </w:r>
          </w:p>
        </w:tc>
        <w:tc>
          <w:tcPr>
            <w:tcW w:w="709" w:type="dxa"/>
          </w:tcPr>
          <w:p w:rsidR="000224B7" w:rsidRPr="007E0AEC" w:rsidRDefault="000224B7" w:rsidP="00886F5A"/>
        </w:tc>
        <w:tc>
          <w:tcPr>
            <w:tcW w:w="709" w:type="dxa"/>
          </w:tcPr>
          <w:p w:rsidR="000224B7" w:rsidRPr="007E0AEC" w:rsidRDefault="000224B7" w:rsidP="00886F5A"/>
        </w:tc>
        <w:tc>
          <w:tcPr>
            <w:tcW w:w="709" w:type="dxa"/>
          </w:tcPr>
          <w:p w:rsidR="000224B7" w:rsidRPr="007E0AEC" w:rsidRDefault="000224B7" w:rsidP="00886F5A"/>
        </w:tc>
        <w:tc>
          <w:tcPr>
            <w:tcW w:w="708"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r w:rsidR="000224B7" w:rsidRPr="007E0AEC" w:rsidTr="000224B7">
        <w:tc>
          <w:tcPr>
            <w:tcW w:w="851" w:type="dxa"/>
          </w:tcPr>
          <w:p w:rsidR="000224B7" w:rsidRPr="007E0AEC" w:rsidRDefault="000224B7" w:rsidP="00886F5A">
            <w:pPr>
              <w:rPr>
                <w:lang w:eastAsia="de-AT"/>
              </w:rPr>
            </w:pPr>
            <w:r w:rsidRPr="007E0AEC">
              <w:rPr>
                <w:lang w:eastAsia="de-AT"/>
              </w:rPr>
              <w:t>MER</w:t>
            </w:r>
          </w:p>
        </w:tc>
        <w:tc>
          <w:tcPr>
            <w:tcW w:w="1134" w:type="dxa"/>
          </w:tcPr>
          <w:p w:rsidR="000224B7" w:rsidRPr="007E0AEC" w:rsidRDefault="000224B7" w:rsidP="00886F5A">
            <w:r w:rsidRPr="007E0AEC">
              <w:t>k</w:t>
            </w:r>
            <w:r w:rsidRPr="007E0AEC">
              <w:rPr>
                <w:lang w:val="en-GB"/>
              </w:rPr>
              <w:t>g</w:t>
            </w:r>
          </w:p>
        </w:tc>
        <w:tc>
          <w:tcPr>
            <w:tcW w:w="709" w:type="dxa"/>
          </w:tcPr>
          <w:p w:rsidR="000224B7" w:rsidRPr="007E0AEC" w:rsidRDefault="000224B7" w:rsidP="00886F5A"/>
        </w:tc>
        <w:tc>
          <w:tcPr>
            <w:tcW w:w="709" w:type="dxa"/>
          </w:tcPr>
          <w:p w:rsidR="000224B7" w:rsidRPr="007E0AEC" w:rsidRDefault="000224B7" w:rsidP="00886F5A"/>
        </w:tc>
        <w:tc>
          <w:tcPr>
            <w:tcW w:w="709" w:type="dxa"/>
          </w:tcPr>
          <w:p w:rsidR="000224B7" w:rsidRPr="007E0AEC" w:rsidRDefault="000224B7" w:rsidP="00886F5A"/>
        </w:tc>
        <w:tc>
          <w:tcPr>
            <w:tcW w:w="708"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r w:rsidR="000224B7" w:rsidRPr="007E0AEC" w:rsidTr="000224B7">
        <w:tc>
          <w:tcPr>
            <w:tcW w:w="851" w:type="dxa"/>
          </w:tcPr>
          <w:p w:rsidR="000224B7" w:rsidRPr="007E0AEC" w:rsidRDefault="000224B7" w:rsidP="00886F5A">
            <w:pPr>
              <w:rPr>
                <w:lang w:eastAsia="de-AT"/>
              </w:rPr>
            </w:pPr>
            <w:r w:rsidRPr="007E0AEC">
              <w:rPr>
                <w:lang w:eastAsia="de-AT"/>
              </w:rPr>
              <w:t>EEE</w:t>
            </w:r>
          </w:p>
        </w:tc>
        <w:tc>
          <w:tcPr>
            <w:tcW w:w="1134" w:type="dxa"/>
          </w:tcPr>
          <w:p w:rsidR="000224B7" w:rsidRPr="007E0AEC" w:rsidRDefault="000224B7" w:rsidP="00886F5A">
            <w:r w:rsidRPr="007E0AEC">
              <w:rPr>
                <w:lang w:eastAsia="de-AT"/>
              </w:rPr>
              <w:t>MJ</w:t>
            </w:r>
          </w:p>
        </w:tc>
        <w:tc>
          <w:tcPr>
            <w:tcW w:w="709" w:type="dxa"/>
          </w:tcPr>
          <w:p w:rsidR="000224B7" w:rsidRPr="007E0AEC" w:rsidRDefault="000224B7" w:rsidP="00886F5A"/>
        </w:tc>
        <w:tc>
          <w:tcPr>
            <w:tcW w:w="709" w:type="dxa"/>
          </w:tcPr>
          <w:p w:rsidR="000224B7" w:rsidRPr="007E0AEC" w:rsidRDefault="000224B7" w:rsidP="00886F5A"/>
        </w:tc>
        <w:tc>
          <w:tcPr>
            <w:tcW w:w="709" w:type="dxa"/>
          </w:tcPr>
          <w:p w:rsidR="000224B7" w:rsidRPr="007E0AEC" w:rsidRDefault="000224B7" w:rsidP="00886F5A"/>
        </w:tc>
        <w:tc>
          <w:tcPr>
            <w:tcW w:w="708"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r w:rsidR="000224B7" w:rsidRPr="007E0AEC" w:rsidTr="000224B7">
        <w:tc>
          <w:tcPr>
            <w:tcW w:w="851" w:type="dxa"/>
          </w:tcPr>
          <w:p w:rsidR="000224B7" w:rsidRPr="00981534" w:rsidRDefault="000224B7" w:rsidP="00886F5A">
            <w:pPr>
              <w:rPr>
                <w:lang w:eastAsia="de-AT"/>
              </w:rPr>
            </w:pPr>
            <w:r w:rsidRPr="00981534">
              <w:rPr>
                <w:lang w:eastAsia="de-AT"/>
              </w:rPr>
              <w:t>EET</w:t>
            </w:r>
          </w:p>
        </w:tc>
        <w:tc>
          <w:tcPr>
            <w:tcW w:w="1134" w:type="dxa"/>
          </w:tcPr>
          <w:p w:rsidR="000224B7" w:rsidRPr="007E0AEC" w:rsidRDefault="000224B7" w:rsidP="00886F5A">
            <w:r w:rsidRPr="00981534">
              <w:rPr>
                <w:lang w:eastAsia="de-AT"/>
              </w:rPr>
              <w:t>MJ</w:t>
            </w:r>
          </w:p>
        </w:tc>
        <w:tc>
          <w:tcPr>
            <w:tcW w:w="709" w:type="dxa"/>
          </w:tcPr>
          <w:p w:rsidR="000224B7" w:rsidRPr="007E0AEC" w:rsidRDefault="000224B7" w:rsidP="00886F5A"/>
        </w:tc>
        <w:tc>
          <w:tcPr>
            <w:tcW w:w="709" w:type="dxa"/>
          </w:tcPr>
          <w:p w:rsidR="000224B7" w:rsidRPr="007E0AEC" w:rsidRDefault="000224B7" w:rsidP="00886F5A"/>
        </w:tc>
        <w:tc>
          <w:tcPr>
            <w:tcW w:w="709" w:type="dxa"/>
          </w:tcPr>
          <w:p w:rsidR="000224B7" w:rsidRPr="007E0AEC" w:rsidRDefault="000224B7" w:rsidP="00886F5A"/>
        </w:tc>
        <w:tc>
          <w:tcPr>
            <w:tcW w:w="708"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c>
          <w:tcPr>
            <w:tcW w:w="567" w:type="dxa"/>
          </w:tcPr>
          <w:p w:rsidR="000224B7" w:rsidRPr="007E0AEC" w:rsidRDefault="000224B7" w:rsidP="00886F5A"/>
        </w:tc>
      </w:tr>
    </w:tbl>
    <w:p w:rsidR="000224B7" w:rsidRDefault="000224B7" w:rsidP="000224B7"/>
    <w:tbl>
      <w:tblPr>
        <w:tblStyle w:val="Tabellenraster"/>
        <w:tblW w:w="9923" w:type="dxa"/>
        <w:tblInd w:w="108" w:type="dxa"/>
        <w:tblLook w:val="04A0" w:firstRow="1" w:lastRow="0" w:firstColumn="1" w:lastColumn="0" w:noHBand="0" w:noVBand="1"/>
      </w:tblPr>
      <w:tblGrid>
        <w:gridCol w:w="1951"/>
        <w:gridCol w:w="7972"/>
      </w:tblGrid>
      <w:tr w:rsidR="000224B7" w:rsidTr="000224B7">
        <w:trPr>
          <w:trHeight w:val="794"/>
        </w:trPr>
        <w:tc>
          <w:tcPr>
            <w:tcW w:w="1951" w:type="dxa"/>
            <w:vAlign w:val="center"/>
          </w:tcPr>
          <w:p w:rsidR="000224B7" w:rsidRPr="005A579C" w:rsidRDefault="000224B7" w:rsidP="00886F5A">
            <w:pPr>
              <w:rPr>
                <w:sz w:val="16"/>
              </w:rPr>
            </w:pPr>
            <w:r w:rsidRPr="005A579C">
              <w:rPr>
                <w:sz w:val="16"/>
              </w:rPr>
              <w:t>Legende</w:t>
            </w:r>
          </w:p>
        </w:tc>
        <w:tc>
          <w:tcPr>
            <w:tcW w:w="7972" w:type="dxa"/>
            <w:vAlign w:val="center"/>
          </w:tcPr>
          <w:p w:rsidR="000224B7" w:rsidRPr="004619BB" w:rsidRDefault="000224B7" w:rsidP="002D0A88">
            <w:pPr>
              <w:jc w:val="left"/>
              <w:rPr>
                <w:rFonts w:eastAsia="Times New Roman"/>
                <w:lang w:val="de-AT" w:eastAsia="de-AT"/>
              </w:rPr>
            </w:pPr>
            <w:r w:rsidRPr="004619BB">
              <w:rPr>
                <w:rFonts w:eastAsia="Times New Roman"/>
                <w:lang w:val="de-AT" w:eastAsia="de-AT"/>
              </w:rPr>
              <w:t xml:space="preserve">CRU =Komponenten für die Wiederverwendung; MFR = Stoffe zum Recycling; </w:t>
            </w:r>
          </w:p>
          <w:p w:rsidR="000224B7" w:rsidRPr="004619BB" w:rsidRDefault="000224B7" w:rsidP="002D0A88">
            <w:pPr>
              <w:jc w:val="left"/>
              <w:rPr>
                <w:rFonts w:eastAsia="Times New Roman"/>
                <w:lang w:val="de-AT" w:eastAsia="de-AT"/>
              </w:rPr>
            </w:pPr>
            <w:r w:rsidRPr="004619BB">
              <w:rPr>
                <w:rFonts w:eastAsia="Times New Roman"/>
                <w:lang w:val="de-AT" w:eastAsia="de-AT"/>
              </w:rPr>
              <w:t xml:space="preserve">MER = Stoffe für die Energierückgewinnung; EEE = Exportierte Energie elektrisch; </w:t>
            </w:r>
            <w:r>
              <w:rPr>
                <w:rFonts w:eastAsia="Times New Roman"/>
                <w:lang w:val="de-AT" w:eastAsia="de-AT"/>
              </w:rPr>
              <w:br/>
            </w:r>
            <w:r w:rsidRPr="004619BB">
              <w:rPr>
                <w:rFonts w:eastAsia="Times New Roman"/>
                <w:lang w:val="de-AT" w:eastAsia="de-AT"/>
              </w:rPr>
              <w:t xml:space="preserve">EET = Exportierte Energie thermisch </w:t>
            </w:r>
          </w:p>
        </w:tc>
      </w:tr>
    </w:tbl>
    <w:p w:rsidR="000224B7" w:rsidRDefault="000224B7" w:rsidP="000224B7"/>
    <w:p w:rsidR="00190F81" w:rsidRDefault="00190F81" w:rsidP="000224B7"/>
    <w:p w:rsidR="00190F81" w:rsidRDefault="00190F81" w:rsidP="000224B7"/>
    <w:p w:rsidR="00102983" w:rsidRDefault="00102983" w:rsidP="00E31B89">
      <w:pPr>
        <w:pStyle w:val="berschrift2"/>
      </w:pPr>
      <w:bookmarkStart w:id="43" w:name="_Toc391985064"/>
      <w:r w:rsidRPr="00F72A9A">
        <w:t xml:space="preserve">Interpretation der </w:t>
      </w:r>
      <w:r w:rsidR="0033722B" w:rsidRPr="00F72A9A">
        <w:t>LCA-</w:t>
      </w:r>
      <w:r w:rsidRPr="00F72A9A">
        <w:t>Ergebnisse</w:t>
      </w:r>
      <w:bookmarkEnd w:id="43"/>
    </w:p>
    <w:p w:rsidR="00F32222" w:rsidRDefault="00F32222" w:rsidP="00E31B89">
      <w:pPr>
        <w:keepNext/>
        <w:keepLines/>
      </w:pPr>
    </w:p>
    <w:p w:rsidR="00102983" w:rsidRPr="005E7B62" w:rsidRDefault="005E7B62" w:rsidP="00E31B89">
      <w:pPr>
        <w:keepNext/>
        <w:keepLines/>
      </w:pPr>
      <w:r w:rsidRPr="005E7B62">
        <w:t xml:space="preserve">Die Ökobilanzergebnisse sind in Hinblick auf die deklarierten Module und Lebenszyklusphasen sowie die deklarierten Produkte hinsichtlich Herkunft und Nutzungsdauer zu beschreiben. </w:t>
      </w:r>
      <w:r w:rsidR="00102983" w:rsidRPr="005E7B62">
        <w:t>Falls ergänzende Informationen für die Interpretation der EPD erforderlich sind, sind diese hier anzuführen.</w:t>
      </w:r>
    </w:p>
    <w:p w:rsidR="00102983" w:rsidRDefault="00102983" w:rsidP="00FB5D78">
      <w:r w:rsidRPr="005E7B62">
        <w:t xml:space="preserve">Für das Verständnis der Ökobilanz müssen sowohl die aggregierten Indikatoren der Sachbilanz wie auch der Wirkungsabschätzung (LCIA) in einer Dominanzanalyse interpretiert werden. Die Interpretation muss auch eine Beschreibung der Spanne bzw. Varianz der LCIA Resultate beinhalten, wenn die EPD für mehrere Produkte gültig ist. Es wird empfohlen, die Interpretation der </w:t>
      </w:r>
      <w:r w:rsidRPr="00190F81">
        <w:rPr>
          <w:b/>
        </w:rPr>
        <w:t>Ergebnisse</w:t>
      </w:r>
      <w:r w:rsidRPr="005E7B62">
        <w:t xml:space="preserve"> mit Graphiken zu illustrieren, z.B. Dominanzanalyse, die Umweltwirkungen über die Module verteilt, die CO</w:t>
      </w:r>
      <w:r w:rsidRPr="005E7B62">
        <w:rPr>
          <w:vertAlign w:val="subscript"/>
        </w:rPr>
        <w:t>2</w:t>
      </w:r>
      <w:r w:rsidRPr="005E7B62">
        <w:t xml:space="preserve"> Bilanz, usw.</w:t>
      </w:r>
    </w:p>
    <w:p w:rsidR="003C5C0B" w:rsidRDefault="003C5C0B" w:rsidP="00F36433">
      <w:pPr>
        <w:pStyle w:val="berschrift1"/>
      </w:pPr>
      <w:bookmarkStart w:id="44" w:name="_Toc391985065"/>
      <w:r>
        <w:t>Gefährliche Stoffe und Emissionen in Raumluft und Umwelt</w:t>
      </w:r>
      <w:bookmarkEnd w:id="44"/>
    </w:p>
    <w:p w:rsidR="00190F81" w:rsidRDefault="00190F81" w:rsidP="00190F81">
      <w:r w:rsidRPr="00F04F06">
        <w:t xml:space="preserve">Grundsätzlich gilt, dass sämtliche Aussagen mit Messdaten zu belegen sind (Vorlage der entsprechenden Nachweise). Bei zu </w:t>
      </w:r>
      <w:proofErr w:type="spellStart"/>
      <w:r w:rsidRPr="00F04F06">
        <w:t>deklarie-renden</w:t>
      </w:r>
      <w:proofErr w:type="spellEnd"/>
      <w:r w:rsidRPr="00F04F06">
        <w:t xml:space="preserve"> Substanzen unter der Nachweisgrenze der Messung ist diese in der Deklaration anzugeben. Interpretierende Aussagen wie „…frei von…“ oder „… sind völlig unbedenklich…“ sind nicht zulässig. Falls für den Anwendungsbereich relevant oder aufgrund der Materialzusammensetzung im Produkt ableitbar sind geeignete Nachweise zu erbringen. Die Methoden für die Nachweise und die Prüfbedingungen sind anzugeben. Werden Nachweise nicht erbracht ist dies in der EPD zu begründen.</w:t>
      </w:r>
      <w:r>
        <w:t xml:space="preserve"> </w:t>
      </w:r>
    </w:p>
    <w:p w:rsidR="00F36433" w:rsidRDefault="00F36433" w:rsidP="00D25240"/>
    <w:p w:rsidR="00D25240" w:rsidRDefault="00D25240" w:rsidP="00F36433">
      <w:pPr>
        <w:pStyle w:val="berschrift2"/>
      </w:pPr>
      <w:bookmarkStart w:id="45" w:name="_Ref378073665"/>
      <w:bookmarkStart w:id="46" w:name="_Toc391985066"/>
      <w:r>
        <w:t>Deklaration besonders besorgniserregender Stoffe</w:t>
      </w:r>
      <w:bookmarkEnd w:id="45"/>
      <w:bookmarkEnd w:id="46"/>
    </w:p>
    <w:p w:rsidR="00F36433" w:rsidRPr="00F36433" w:rsidRDefault="00F36433" w:rsidP="00F36433"/>
    <w:p w:rsidR="00D25240" w:rsidRDefault="00D25240" w:rsidP="00D25240">
      <w:r>
        <w:t xml:space="preserve">Einsatzstoffe mit den in Tabelle </w:t>
      </w:r>
      <w:r w:rsidR="00B137EA">
        <w:t xml:space="preserve">16 </w:t>
      </w:r>
      <w:r>
        <w:t>angeführten Gefahrstoffeigenschaften sind zu deklarieren:</w:t>
      </w:r>
    </w:p>
    <w:p w:rsidR="005E4D75" w:rsidRDefault="005E4D75" w:rsidP="00D25240"/>
    <w:p w:rsidR="00D25240" w:rsidRPr="005E4D75" w:rsidRDefault="005E4D75" w:rsidP="009F2CF6">
      <w:pPr>
        <w:pStyle w:val="Beschriftung"/>
        <w:keepNext/>
        <w:rPr>
          <w:color w:val="17365D" w:themeColor="text2" w:themeShade="BF"/>
        </w:rPr>
      </w:pPr>
      <w:r w:rsidRPr="005E4D75">
        <w:rPr>
          <w:color w:val="17365D" w:themeColor="text2" w:themeShade="BF"/>
        </w:rPr>
        <w:t xml:space="preserve">Tabelle </w:t>
      </w:r>
      <w:r w:rsidR="008F14A7" w:rsidRPr="005E4D75">
        <w:rPr>
          <w:color w:val="17365D" w:themeColor="text2" w:themeShade="BF"/>
        </w:rPr>
        <w:fldChar w:fldCharType="begin"/>
      </w:r>
      <w:r w:rsidRPr="005E4D75">
        <w:rPr>
          <w:color w:val="17365D" w:themeColor="text2" w:themeShade="BF"/>
        </w:rPr>
        <w:instrText xml:space="preserve"> SEQ Tabelle \* ARABIC </w:instrText>
      </w:r>
      <w:r w:rsidR="008F14A7" w:rsidRPr="005E4D75">
        <w:rPr>
          <w:color w:val="17365D" w:themeColor="text2" w:themeShade="BF"/>
        </w:rPr>
        <w:fldChar w:fldCharType="separate"/>
      </w:r>
      <w:r w:rsidR="00380BCC">
        <w:rPr>
          <w:noProof/>
          <w:color w:val="17365D" w:themeColor="text2" w:themeShade="BF"/>
        </w:rPr>
        <w:t>16</w:t>
      </w:r>
      <w:r w:rsidR="008F14A7" w:rsidRPr="005E4D75">
        <w:rPr>
          <w:color w:val="17365D" w:themeColor="text2" w:themeShade="BF"/>
        </w:rPr>
        <w:fldChar w:fldCharType="end"/>
      </w:r>
      <w:r w:rsidRPr="005E4D75">
        <w:rPr>
          <w:color w:val="17365D" w:themeColor="text2" w:themeShade="BF"/>
        </w:rPr>
        <w:t xml:space="preserve">: </w:t>
      </w:r>
      <w:r w:rsidR="00D25240" w:rsidRPr="005E4D75">
        <w:rPr>
          <w:color w:val="17365D" w:themeColor="text2" w:themeShade="BF"/>
        </w:rPr>
        <w:t>Deklaration von Einsatzstoffen mit Gefahrstoffeigenschaften</w:t>
      </w:r>
    </w:p>
    <w:tbl>
      <w:tblPr>
        <w:tblStyle w:val="Tabellenraster"/>
        <w:tblW w:w="7196" w:type="dxa"/>
        <w:tblInd w:w="108" w:type="dxa"/>
        <w:tblLook w:val="04A0" w:firstRow="1" w:lastRow="0" w:firstColumn="1" w:lastColumn="0" w:noHBand="0" w:noVBand="1"/>
      </w:tblPr>
      <w:tblGrid>
        <w:gridCol w:w="4606"/>
        <w:gridCol w:w="2590"/>
      </w:tblGrid>
      <w:tr w:rsidR="00D25240" w:rsidRPr="00884E96" w:rsidTr="009F2CF6">
        <w:trPr>
          <w:trHeight w:val="567"/>
        </w:trPr>
        <w:tc>
          <w:tcPr>
            <w:tcW w:w="4606" w:type="dxa"/>
            <w:shd w:val="clear" w:color="auto" w:fill="8DB3E2" w:themeFill="text2" w:themeFillTint="66"/>
            <w:vAlign w:val="center"/>
          </w:tcPr>
          <w:p w:rsidR="00D25240" w:rsidRPr="003B609C" w:rsidRDefault="00D25240" w:rsidP="00D25240">
            <w:pPr>
              <w:jc w:val="left"/>
              <w:rPr>
                <w:b/>
                <w:color w:val="000000" w:themeColor="text1"/>
                <w:szCs w:val="18"/>
              </w:rPr>
            </w:pPr>
            <w:r w:rsidRPr="003B609C">
              <w:rPr>
                <w:b/>
                <w:color w:val="000000" w:themeColor="text1"/>
                <w:szCs w:val="18"/>
              </w:rPr>
              <w:t xml:space="preserve">Gefahrstoffeigenschaft </w:t>
            </w:r>
            <w:r w:rsidRPr="003B609C">
              <w:rPr>
                <w:color w:val="000000" w:themeColor="text1"/>
                <w:szCs w:val="18"/>
              </w:rPr>
              <w:t>gemäß EG-Verordnung 1272/2008 (CLP-Verordnung)</w:t>
            </w:r>
          </w:p>
        </w:tc>
        <w:tc>
          <w:tcPr>
            <w:tcW w:w="2590" w:type="dxa"/>
            <w:shd w:val="clear" w:color="auto" w:fill="8DB3E2" w:themeFill="text2" w:themeFillTint="66"/>
            <w:vAlign w:val="center"/>
          </w:tcPr>
          <w:p w:rsidR="00D25240" w:rsidRPr="003B609C" w:rsidRDefault="00D25240" w:rsidP="00D25240">
            <w:pPr>
              <w:jc w:val="left"/>
              <w:rPr>
                <w:b/>
                <w:color w:val="000000" w:themeColor="text1"/>
                <w:szCs w:val="18"/>
              </w:rPr>
            </w:pPr>
            <w:r w:rsidRPr="003B609C">
              <w:rPr>
                <w:b/>
                <w:color w:val="000000" w:themeColor="text1"/>
                <w:szCs w:val="18"/>
              </w:rPr>
              <w:t>Chemische Bezeichnung (CAS-Nummer)</w:t>
            </w:r>
          </w:p>
        </w:tc>
      </w:tr>
      <w:tr w:rsidR="00D25240" w:rsidRPr="00231F38" w:rsidTr="009F2CF6">
        <w:trPr>
          <w:trHeight w:val="567"/>
        </w:trPr>
        <w:tc>
          <w:tcPr>
            <w:tcW w:w="4606" w:type="dxa"/>
            <w:vAlign w:val="center"/>
          </w:tcPr>
          <w:p w:rsidR="00D25240" w:rsidRPr="00231F38" w:rsidRDefault="00D25240" w:rsidP="00D25240">
            <w:r w:rsidRPr="00231F38">
              <w:t>Krebserzeugend Kat. 1A oder 1B</w:t>
            </w:r>
            <w:r>
              <w:t xml:space="preserve"> (</w:t>
            </w:r>
            <w:r w:rsidRPr="00231F38">
              <w:t>H35</w:t>
            </w:r>
            <w:r>
              <w:t xml:space="preserve">0, </w:t>
            </w:r>
            <w:r w:rsidRPr="00231F38">
              <w:t>H35</w:t>
            </w:r>
            <w:r>
              <w:t>0i):</w:t>
            </w:r>
          </w:p>
        </w:tc>
        <w:tc>
          <w:tcPr>
            <w:tcW w:w="2590" w:type="dxa"/>
            <w:vAlign w:val="center"/>
          </w:tcPr>
          <w:p w:rsidR="00D25240" w:rsidRPr="00231F38" w:rsidRDefault="00D25240" w:rsidP="00D25240">
            <w:pPr>
              <w:rPr>
                <w:sz w:val="20"/>
                <w:szCs w:val="20"/>
              </w:rPr>
            </w:pPr>
          </w:p>
        </w:tc>
      </w:tr>
      <w:tr w:rsidR="00D25240" w:rsidRPr="00231F38" w:rsidTr="009F2CF6">
        <w:trPr>
          <w:trHeight w:val="567"/>
        </w:trPr>
        <w:tc>
          <w:tcPr>
            <w:tcW w:w="4606" w:type="dxa"/>
            <w:vAlign w:val="center"/>
          </w:tcPr>
          <w:p w:rsidR="00D25240" w:rsidRPr="00231F38" w:rsidRDefault="00D25240" w:rsidP="00D25240">
            <w:r w:rsidRPr="00231F38">
              <w:t>Erbgutverändernd Kat. 1A oder 1B</w:t>
            </w:r>
            <w:r>
              <w:t xml:space="preserve"> (H340):</w:t>
            </w:r>
          </w:p>
        </w:tc>
        <w:tc>
          <w:tcPr>
            <w:tcW w:w="2590" w:type="dxa"/>
            <w:vAlign w:val="center"/>
          </w:tcPr>
          <w:p w:rsidR="00D25240" w:rsidRPr="00231F38" w:rsidRDefault="00D25240" w:rsidP="00D25240">
            <w:pPr>
              <w:rPr>
                <w:sz w:val="20"/>
                <w:szCs w:val="20"/>
              </w:rPr>
            </w:pPr>
          </w:p>
        </w:tc>
      </w:tr>
      <w:tr w:rsidR="00D25240" w:rsidRPr="00231F38" w:rsidTr="009F2CF6">
        <w:trPr>
          <w:trHeight w:val="567"/>
        </w:trPr>
        <w:tc>
          <w:tcPr>
            <w:tcW w:w="4606" w:type="dxa"/>
            <w:vAlign w:val="center"/>
          </w:tcPr>
          <w:p w:rsidR="00D25240" w:rsidRPr="00231F38" w:rsidRDefault="00D25240" w:rsidP="00D25240">
            <w:r w:rsidRPr="00231F38">
              <w:t xml:space="preserve">Fortpflanzungsgefährdend Kat. </w:t>
            </w:r>
            <w:r w:rsidR="00190F81">
              <w:t>1A oder 1</w:t>
            </w:r>
            <w:r>
              <w:t>B (</w:t>
            </w:r>
            <w:r w:rsidRPr="00231F38">
              <w:t>H360F, H360D, H360FD, H360Fd, H360Df</w:t>
            </w:r>
            <w:r>
              <w:t>):</w:t>
            </w:r>
          </w:p>
        </w:tc>
        <w:tc>
          <w:tcPr>
            <w:tcW w:w="2590" w:type="dxa"/>
            <w:vAlign w:val="center"/>
          </w:tcPr>
          <w:p w:rsidR="00D25240" w:rsidRPr="00231F38" w:rsidRDefault="00D25240" w:rsidP="00D25240">
            <w:pPr>
              <w:rPr>
                <w:sz w:val="20"/>
                <w:szCs w:val="20"/>
              </w:rPr>
            </w:pPr>
          </w:p>
        </w:tc>
      </w:tr>
      <w:tr w:rsidR="00D25240" w:rsidRPr="00231F38" w:rsidTr="009F2CF6">
        <w:trPr>
          <w:trHeight w:val="567"/>
        </w:trPr>
        <w:tc>
          <w:tcPr>
            <w:tcW w:w="4606" w:type="dxa"/>
            <w:vAlign w:val="center"/>
          </w:tcPr>
          <w:p w:rsidR="00D25240" w:rsidRPr="00231F38" w:rsidRDefault="00D25240" w:rsidP="00D25240">
            <w:r w:rsidRPr="00786B0E">
              <w:t>PBT (persistent, bioakkumulierend und toxisch)</w:t>
            </w:r>
            <w:r>
              <w:t xml:space="preserve"> </w:t>
            </w:r>
            <w:r w:rsidRPr="00786B0E">
              <w:t>(REACH, Anhang XIII)</w:t>
            </w:r>
            <w:r>
              <w:t>:</w:t>
            </w:r>
          </w:p>
        </w:tc>
        <w:tc>
          <w:tcPr>
            <w:tcW w:w="2590" w:type="dxa"/>
            <w:vAlign w:val="center"/>
          </w:tcPr>
          <w:p w:rsidR="00D25240" w:rsidRPr="00231F38" w:rsidRDefault="00D25240" w:rsidP="00D25240">
            <w:pPr>
              <w:rPr>
                <w:sz w:val="20"/>
                <w:szCs w:val="20"/>
              </w:rPr>
            </w:pPr>
          </w:p>
        </w:tc>
      </w:tr>
      <w:tr w:rsidR="00D25240" w:rsidRPr="00231F38" w:rsidTr="009F2CF6">
        <w:trPr>
          <w:trHeight w:val="567"/>
        </w:trPr>
        <w:tc>
          <w:tcPr>
            <w:tcW w:w="4606" w:type="dxa"/>
            <w:vAlign w:val="center"/>
          </w:tcPr>
          <w:p w:rsidR="00D25240" w:rsidRPr="00231F38" w:rsidRDefault="00D25240" w:rsidP="00D25240">
            <w:proofErr w:type="spellStart"/>
            <w:r w:rsidRPr="00786B0E">
              <w:t>vPvB</w:t>
            </w:r>
            <w:proofErr w:type="spellEnd"/>
            <w:r w:rsidRPr="00786B0E">
              <w:t xml:space="preserve"> (stark persistent und stark bioakkumulierend) (REACH, Anhang XIII)</w:t>
            </w:r>
            <w:r>
              <w:t>:</w:t>
            </w:r>
          </w:p>
        </w:tc>
        <w:tc>
          <w:tcPr>
            <w:tcW w:w="2590" w:type="dxa"/>
            <w:vAlign w:val="center"/>
          </w:tcPr>
          <w:p w:rsidR="00D25240" w:rsidRPr="00231F38" w:rsidRDefault="00D25240" w:rsidP="00D25240">
            <w:pPr>
              <w:rPr>
                <w:sz w:val="20"/>
                <w:szCs w:val="20"/>
              </w:rPr>
            </w:pPr>
          </w:p>
        </w:tc>
      </w:tr>
      <w:tr w:rsidR="00D25240" w:rsidRPr="00231F38" w:rsidTr="009F2CF6">
        <w:trPr>
          <w:trHeight w:val="567"/>
        </w:trPr>
        <w:tc>
          <w:tcPr>
            <w:tcW w:w="4606" w:type="dxa"/>
            <w:vAlign w:val="center"/>
          </w:tcPr>
          <w:p w:rsidR="00D25240" w:rsidRPr="00231F38" w:rsidRDefault="00D25240" w:rsidP="00D0126A">
            <w:r>
              <w:t>B</w:t>
            </w:r>
            <w:r w:rsidRPr="00231F38">
              <w:t>esonders besorgniserregende Stoffe</w:t>
            </w:r>
            <w:r>
              <w:t xml:space="preserve"> auf Basis anderer Eigenschaften</w:t>
            </w:r>
            <w:r w:rsidRPr="00231F38">
              <w:t xml:space="preserve"> (SVH</w:t>
            </w:r>
            <w:r w:rsidR="00D0126A">
              <w:t>C</w:t>
            </w:r>
            <w:r>
              <w:t>):</w:t>
            </w:r>
          </w:p>
        </w:tc>
        <w:tc>
          <w:tcPr>
            <w:tcW w:w="2590" w:type="dxa"/>
            <w:vAlign w:val="center"/>
          </w:tcPr>
          <w:p w:rsidR="00D25240" w:rsidRPr="00231F38" w:rsidRDefault="00D25240" w:rsidP="00D25240">
            <w:pPr>
              <w:rPr>
                <w:sz w:val="20"/>
                <w:szCs w:val="20"/>
              </w:rPr>
            </w:pPr>
          </w:p>
        </w:tc>
      </w:tr>
    </w:tbl>
    <w:p w:rsidR="00D25240" w:rsidRDefault="00D25240" w:rsidP="00D25240">
      <w:pPr>
        <w:pStyle w:val="StandardAbs"/>
        <w:rPr>
          <w:color w:val="000000"/>
        </w:rPr>
      </w:pPr>
      <w:r>
        <w:rPr>
          <w:rStyle w:val="auto-style45"/>
        </w:rPr>
        <w:t>Anm</w:t>
      </w:r>
      <w:r w:rsidR="00002441">
        <w:rPr>
          <w:rStyle w:val="auto-style45"/>
        </w:rPr>
        <w:t>erk</w:t>
      </w:r>
      <w:r>
        <w:rPr>
          <w:rStyle w:val="auto-style45"/>
        </w:rPr>
        <w:t>ung: Stoffe, die als besonders besorgniserregend eingestuft sind (SVHC) müssen in EPDs gemäß EN 15804 deklariert werden. Die REACH-Verordnung sieht ein</w:t>
      </w:r>
      <w:r>
        <w:rPr>
          <w:rStyle w:val="auto-style46"/>
        </w:rPr>
        <w:t xml:space="preserve"> </w:t>
      </w:r>
      <w:r w:rsidRPr="00A0593D">
        <w:rPr>
          <w:rStyle w:val="auto-style44"/>
        </w:rPr>
        <w:t>Zulassungsverfahren</w:t>
      </w:r>
      <w:r>
        <w:rPr>
          <w:rStyle w:val="auto-style46"/>
        </w:rPr>
        <w:t xml:space="preserve"> </w:t>
      </w:r>
      <w:r>
        <w:rPr>
          <w:rStyle w:val="auto-style45"/>
        </w:rPr>
        <w:t>für besonders besorgnis</w:t>
      </w:r>
      <w:r>
        <w:rPr>
          <w:rStyle w:val="auto-style45"/>
        </w:rPr>
        <w:softHyphen/>
        <w:t>erregende Stoffe vor. Der Status als</w:t>
      </w:r>
      <w:r>
        <w:rPr>
          <w:rStyle w:val="auto-style46"/>
        </w:rPr>
        <w:t xml:space="preserve"> </w:t>
      </w:r>
      <w:r w:rsidRPr="00A0593D">
        <w:rPr>
          <w:rStyle w:val="auto-style44"/>
        </w:rPr>
        <w:t>besonders besorgniserregender Stoff</w:t>
      </w:r>
      <w:r>
        <w:rPr>
          <w:rStyle w:val="auto-style46"/>
        </w:rPr>
        <w:t xml:space="preserve"> </w:t>
      </w:r>
      <w:r>
        <w:rPr>
          <w:rStyle w:val="auto-style45"/>
        </w:rPr>
        <w:t>wird offiziell bestätigt durch die ECHA, indem sie den Stoff in der</w:t>
      </w:r>
      <w:r>
        <w:rPr>
          <w:rStyle w:val="auto-style46"/>
        </w:rPr>
        <w:t xml:space="preserve"> </w:t>
      </w:r>
      <w:r w:rsidRPr="00A0593D">
        <w:rPr>
          <w:rStyle w:val="auto-style44"/>
        </w:rPr>
        <w:t>Kandidatenliste</w:t>
      </w:r>
      <w:r>
        <w:rPr>
          <w:rStyle w:val="auto-style46"/>
        </w:rPr>
        <w:t xml:space="preserve"> </w:t>
      </w:r>
      <w:r>
        <w:rPr>
          <w:rStyle w:val="auto-style45"/>
        </w:rPr>
        <w:t xml:space="preserve">auf ihrer Homepage veröffentlicht. </w:t>
      </w:r>
      <w:r>
        <w:rPr>
          <w:color w:val="000000"/>
        </w:rPr>
        <w:t>Gefährdungskriterien, die zur Einstufung in besonders besorgniserregende Stoffe führen können sind:</w:t>
      </w:r>
    </w:p>
    <w:p w:rsidR="00D25240" w:rsidRPr="00A0593D" w:rsidRDefault="00D25240" w:rsidP="00D25240">
      <w:pPr>
        <w:pStyle w:val="Listenabsatz"/>
        <w:numPr>
          <w:ilvl w:val="0"/>
          <w:numId w:val="27"/>
        </w:numPr>
        <w:spacing w:before="0" w:line="320" w:lineRule="exact"/>
        <w:jc w:val="left"/>
      </w:pPr>
      <w:r w:rsidRPr="00A0593D">
        <w:t xml:space="preserve">Einstufung als Stoff mit krebserzeugenden, erbgutverändernden oder fortpflanzungsgefährdenden Eigenschaften </w:t>
      </w:r>
    </w:p>
    <w:p w:rsidR="00D25240" w:rsidRPr="00A0593D" w:rsidRDefault="00D25240" w:rsidP="00D25240">
      <w:pPr>
        <w:pStyle w:val="Listenabsatz"/>
        <w:numPr>
          <w:ilvl w:val="0"/>
          <w:numId w:val="27"/>
        </w:numPr>
        <w:spacing w:before="0" w:line="320" w:lineRule="exact"/>
        <w:jc w:val="left"/>
      </w:pPr>
      <w:r w:rsidRPr="00A0593D">
        <w:t>Stoffe mit PBT-/</w:t>
      </w:r>
      <w:proofErr w:type="spellStart"/>
      <w:r w:rsidRPr="00A0593D">
        <w:t>vPvB</w:t>
      </w:r>
      <w:proofErr w:type="spellEnd"/>
      <w:r w:rsidRPr="00A0593D">
        <w:t>-Eigenschaften</w:t>
      </w:r>
    </w:p>
    <w:p w:rsidR="00D25240" w:rsidRPr="00A0593D" w:rsidRDefault="00D25240" w:rsidP="00D25240">
      <w:pPr>
        <w:pStyle w:val="Listenabsatz"/>
        <w:numPr>
          <w:ilvl w:val="0"/>
          <w:numId w:val="27"/>
        </w:numPr>
        <w:spacing w:before="0" w:line="320" w:lineRule="exact"/>
        <w:jc w:val="left"/>
      </w:pPr>
      <w:r w:rsidRPr="00A0593D">
        <w:t>Stoffe mit endokriner Wirkung oder ähnlich besorgniserregenden Eigenschaften</w:t>
      </w:r>
    </w:p>
    <w:p w:rsidR="00190F81" w:rsidRDefault="00D25240" w:rsidP="00002441">
      <w:r>
        <w:t xml:space="preserve">Eine Ausnahme der Deklarationspflicht besteht für </w:t>
      </w:r>
      <w:r w:rsidRPr="00884E96">
        <w:t>Stoffe und Zubereitungen, die während der Herstellung die nachstehenden Gefährlichkeitsmerkmale verl</w:t>
      </w:r>
      <w:r>
        <w:t>ieren (z.B. durch Ausreagieren)</w:t>
      </w:r>
      <w:r w:rsidRPr="00884E96">
        <w:t>.</w:t>
      </w:r>
    </w:p>
    <w:p w:rsidR="00190F81" w:rsidRDefault="00190F81">
      <w:pPr>
        <w:spacing w:after="200"/>
        <w:jc w:val="left"/>
      </w:pPr>
      <w:r>
        <w:br w:type="page"/>
      </w:r>
    </w:p>
    <w:p w:rsidR="00D25240" w:rsidRDefault="00D25240" w:rsidP="00002441"/>
    <w:p w:rsidR="00900236" w:rsidRDefault="00900236" w:rsidP="00392382">
      <w:pPr>
        <w:pStyle w:val="berschrift1"/>
      </w:pPr>
      <w:bookmarkStart w:id="47" w:name="_Toc391985067"/>
      <w:r w:rsidRPr="000B6D61">
        <w:t>Literatur</w:t>
      </w:r>
      <w:r w:rsidR="003C5C0B">
        <w:t>hinweise</w:t>
      </w:r>
      <w:bookmarkEnd w:id="47"/>
    </w:p>
    <w:p w:rsidR="00392382" w:rsidRPr="00392382" w:rsidRDefault="00392382" w:rsidP="00392382"/>
    <w:p w:rsidR="00D25240" w:rsidRDefault="00AB1A50" w:rsidP="00392382">
      <w:pPr>
        <w:pStyle w:val="berschrift2"/>
      </w:pPr>
      <w:bookmarkStart w:id="48" w:name="_Toc391985068"/>
      <w:r>
        <w:t>Literaturhinweise in der</w:t>
      </w:r>
      <w:r w:rsidR="00D25240">
        <w:t xml:space="preserve"> EPD</w:t>
      </w:r>
      <w:bookmarkEnd w:id="48"/>
    </w:p>
    <w:bookmarkEnd w:id="0"/>
    <w:p w:rsidR="001C619E" w:rsidRDefault="001C619E" w:rsidP="00190F81"/>
    <w:p w:rsidR="00190F81" w:rsidRDefault="00190F81" w:rsidP="00190F81">
      <w:r w:rsidRPr="00C318A1">
        <w:t xml:space="preserve">Hier sind die relevanten Normen und Quellen für die Erstellung der EPD bzw. für die Produktdefinition aufzulisten. Der </w:t>
      </w:r>
      <w:r>
        <w:t>Voll</w:t>
      </w:r>
      <w:r w:rsidRPr="00C318A1">
        <w:t>nachweis ist in folgender Form zu erbringen:</w:t>
      </w:r>
    </w:p>
    <w:p w:rsidR="00190F81" w:rsidRPr="002921E9" w:rsidRDefault="00190F81" w:rsidP="00190F81">
      <w:pPr>
        <w:ind w:left="708"/>
      </w:pPr>
      <w:r w:rsidRPr="002921E9">
        <w:t>Autor, V. und Autor, V. (Jahr). Artikeltitel. Untertitel. Ort: Verlag.</w:t>
      </w:r>
    </w:p>
    <w:p w:rsidR="00190F81" w:rsidRPr="002921E9" w:rsidRDefault="00190F81" w:rsidP="00190F81">
      <w:pPr>
        <w:ind w:left="708"/>
      </w:pPr>
      <w:r w:rsidRPr="002921E9">
        <w:t xml:space="preserve">Autor, V. (Jahr). Artikeltitel. In: Nachname, V. und Nachname, V. (Hrsg.): Name der Zeitschrift. Bd. 2 </w:t>
      </w:r>
      <w:r w:rsidRPr="002921E9">
        <w:rPr>
          <w:i/>
        </w:rPr>
        <w:t xml:space="preserve">oder </w:t>
      </w:r>
      <w:proofErr w:type="spellStart"/>
      <w:r w:rsidRPr="002921E9">
        <w:rPr>
          <w:i/>
        </w:rPr>
        <w:t>JahrgangsNr</w:t>
      </w:r>
      <w:proofErr w:type="spellEnd"/>
      <w:r w:rsidRPr="002921E9">
        <w:rPr>
          <w:i/>
        </w:rPr>
        <w:t>.,</w:t>
      </w:r>
      <w:r w:rsidRPr="002921E9">
        <w:t xml:space="preserve"> 207-210.</w:t>
      </w:r>
    </w:p>
    <w:p w:rsidR="00190F81" w:rsidRPr="002921E9" w:rsidRDefault="00190F81" w:rsidP="00190F81">
      <w:pPr>
        <w:ind w:left="708"/>
      </w:pPr>
      <w:r w:rsidRPr="002921E9">
        <w:t>Organisation (Jahr): Voller Name der Vorschrift oder Regel. Herausgabedatum. Ort: Gesetzgebendes Organ.</w:t>
      </w:r>
    </w:p>
    <w:p w:rsidR="00190F81" w:rsidRDefault="00190F81" w:rsidP="00190F81">
      <w:pPr>
        <w:pStyle w:val="StandardAbs"/>
      </w:pPr>
      <w:r>
        <w:t>Immer zu zitieren ist:</w:t>
      </w:r>
    </w:p>
    <w:p w:rsidR="00190F81" w:rsidRDefault="00190F81" w:rsidP="00190F81">
      <w:pPr>
        <w:pStyle w:val="KapitelUeberschrift2"/>
      </w:pPr>
      <w:r>
        <w:t>Zugrunde liegende Normenwerke:</w:t>
      </w:r>
    </w:p>
    <w:p w:rsidR="00190F81" w:rsidRPr="005F130A" w:rsidRDefault="00190F81" w:rsidP="00190F81">
      <w:pPr>
        <w:pStyle w:val="StandardAbs"/>
        <w:rPr>
          <w:b/>
        </w:rPr>
      </w:pPr>
      <w:r w:rsidRPr="005F130A">
        <w:rPr>
          <w:b/>
        </w:rPr>
        <w:t>ISO 140</w:t>
      </w:r>
      <w:r>
        <w:rPr>
          <w:b/>
        </w:rPr>
        <w:t>25</w:t>
      </w:r>
      <w:r w:rsidRPr="005F130A">
        <w:rPr>
          <w:b/>
        </w:rPr>
        <w:t xml:space="preserve"> </w:t>
      </w:r>
    </w:p>
    <w:p w:rsidR="00190F81" w:rsidRPr="00D25240" w:rsidRDefault="00190F81" w:rsidP="00190F81">
      <w:pPr>
        <w:pStyle w:val="Kopfzeile"/>
        <w:rPr>
          <w:lang w:val="de-AT"/>
        </w:rPr>
      </w:pPr>
      <w:r>
        <w:t>ÖNORM EN ISO 14025 Umweltkennzeichnung und -deklarationen – Typ III Umweltdeklarationen – Grundsätze und Verfahren</w:t>
      </w:r>
    </w:p>
    <w:p w:rsidR="00190F81" w:rsidRPr="005F130A" w:rsidRDefault="00190F81" w:rsidP="00190F81">
      <w:pPr>
        <w:pStyle w:val="StandardAbs"/>
        <w:rPr>
          <w:b/>
        </w:rPr>
      </w:pPr>
      <w:r w:rsidRPr="005F130A">
        <w:rPr>
          <w:b/>
        </w:rPr>
        <w:t xml:space="preserve">ISO 14040 </w:t>
      </w:r>
    </w:p>
    <w:p w:rsidR="00190F81" w:rsidRPr="005F130A" w:rsidRDefault="00190F81" w:rsidP="00190F81">
      <w:pPr>
        <w:rPr>
          <w:b/>
        </w:rPr>
      </w:pPr>
      <w:r w:rsidRPr="009548EC">
        <w:t>ÖNORM EN ISO 14040</w:t>
      </w:r>
      <w:r>
        <w:t xml:space="preserve"> </w:t>
      </w:r>
      <w:r w:rsidRPr="009548EC">
        <w:t>Umweltmanagement – Ökobilanz – G</w:t>
      </w:r>
      <w:r>
        <w:t>rundsätze und Rahmenbedingungen</w:t>
      </w:r>
    </w:p>
    <w:p w:rsidR="00190F81" w:rsidRDefault="00190F81" w:rsidP="00190F81">
      <w:pPr>
        <w:pStyle w:val="StandardAbs"/>
        <w:rPr>
          <w:b/>
        </w:rPr>
      </w:pPr>
      <w:r>
        <w:rPr>
          <w:b/>
        </w:rPr>
        <w:t>ISO 14044</w:t>
      </w:r>
    </w:p>
    <w:p w:rsidR="00190F81" w:rsidRDefault="00190F81" w:rsidP="00190F81">
      <w:r w:rsidRPr="009548EC">
        <w:t>ÖNORM EN ISO 14044</w:t>
      </w:r>
      <w:r>
        <w:t xml:space="preserve"> </w:t>
      </w:r>
      <w:r w:rsidRPr="009548EC">
        <w:t>Umweltmanagement – Ökobilanz – Anforderungen und Anleitungen</w:t>
      </w:r>
    </w:p>
    <w:p w:rsidR="00190F81" w:rsidRPr="005F130A" w:rsidRDefault="00190F81" w:rsidP="00190F81">
      <w:pPr>
        <w:pStyle w:val="StandardAbs"/>
        <w:rPr>
          <w:b/>
        </w:rPr>
      </w:pPr>
      <w:r w:rsidRPr="005F130A">
        <w:rPr>
          <w:b/>
        </w:rPr>
        <w:t>EN 15804</w:t>
      </w:r>
    </w:p>
    <w:p w:rsidR="00190F81" w:rsidRPr="00B337F3" w:rsidRDefault="00190F81" w:rsidP="00190F81">
      <w:r w:rsidRPr="009548EC">
        <w:t>ÖNORM EN 15804 Nachhaltigkeit von Bauwerken – Umweltdeklarationen für Produkte – Grundregeln für die Produktkategorie Bauprodukt</w:t>
      </w:r>
      <w:r w:rsidRPr="005B0E4A">
        <w:t>e</w:t>
      </w:r>
      <w:r>
        <w:t>.</w:t>
      </w:r>
      <w:r w:rsidRPr="009548EC">
        <w:t xml:space="preserve"> Ausgabe: 2012-04-01</w:t>
      </w:r>
    </w:p>
    <w:p w:rsidR="00190F81" w:rsidRDefault="00190F81" w:rsidP="00190F81">
      <w:pPr>
        <w:pStyle w:val="StandardAbs"/>
      </w:pPr>
      <w:r w:rsidRPr="002920D9">
        <w:rPr>
          <w:b/>
        </w:rPr>
        <w:t>EN 16449</w:t>
      </w:r>
    </w:p>
    <w:p w:rsidR="00190F81" w:rsidRPr="002920D9" w:rsidRDefault="00190F81" w:rsidP="00190F81">
      <w:r w:rsidRPr="009F07A5">
        <w:t>ÖNORM EN 16449</w:t>
      </w:r>
      <w:r w:rsidRPr="002920D9">
        <w:t xml:space="preserve"> </w:t>
      </w:r>
      <w:r>
        <w:t xml:space="preserve">- </w:t>
      </w:r>
      <w:r w:rsidRPr="002920D9">
        <w:t>Holz- und Holzprodukte - Berechnung der Speicherung atmosphärischen Kohlenstoff-Dioxids</w:t>
      </w:r>
    </w:p>
    <w:p w:rsidR="00190F81" w:rsidRPr="009F07A5" w:rsidRDefault="00190F81" w:rsidP="00190F81">
      <w:pPr>
        <w:pStyle w:val="StandardAbs"/>
        <w:rPr>
          <w:b/>
        </w:rPr>
      </w:pPr>
      <w:r w:rsidRPr="009F07A5">
        <w:rPr>
          <w:b/>
        </w:rPr>
        <w:t>EN 16485</w:t>
      </w:r>
    </w:p>
    <w:p w:rsidR="00190F81" w:rsidRPr="00B337F3" w:rsidRDefault="00190F81" w:rsidP="00190F81">
      <w:r w:rsidRPr="009F07A5">
        <w:t>ÖNORM</w:t>
      </w:r>
      <w:r>
        <w:t xml:space="preserve"> EN 16485 </w:t>
      </w:r>
      <w:r w:rsidRPr="002920D9">
        <w:t>Rund- und Schnittholz – Umweltproduktdeklarationen – Produktkategorieregeln für Holz und Holzwerkstoffe im Bauwesen</w:t>
      </w:r>
    </w:p>
    <w:p w:rsidR="00190F81" w:rsidRPr="00B63B6F" w:rsidRDefault="00190F81" w:rsidP="00190F81">
      <w:pPr>
        <w:pStyle w:val="StandardAbs"/>
        <w:rPr>
          <w:b/>
        </w:rPr>
      </w:pPr>
      <w:r w:rsidRPr="00B63B6F">
        <w:rPr>
          <w:b/>
        </w:rPr>
        <w:t>Allgemeine Ökobilanzregeln</w:t>
      </w:r>
    </w:p>
    <w:p w:rsidR="00190F81" w:rsidRDefault="00190F81" w:rsidP="00190F81">
      <w:pPr>
        <w:pStyle w:val="Kopfzeile"/>
      </w:pPr>
      <w:r w:rsidRPr="000C74E8">
        <w:t>Allgemeine Regeln für Ökobilanzen und Anforderungen an den Hintergrundbericht (Projektbericht)</w:t>
      </w:r>
      <w:r>
        <w:t>. Bau-EPD GmbH., in geltender Fassung</w:t>
      </w:r>
    </w:p>
    <w:p w:rsidR="001C619E" w:rsidRDefault="001C619E" w:rsidP="00190F81">
      <w:pPr>
        <w:pStyle w:val="Kopfzeile"/>
      </w:pPr>
    </w:p>
    <w:p w:rsidR="00190F81" w:rsidRDefault="00190F81" w:rsidP="001C619E">
      <w:pPr>
        <w:pStyle w:val="berschrift2"/>
      </w:pPr>
      <w:bookmarkStart w:id="49" w:name="_Toc389814198"/>
      <w:bookmarkStart w:id="50" w:name="_Toc391985069"/>
      <w:r>
        <w:t>Literaturverzeichnis zur PKR</w:t>
      </w:r>
      <w:bookmarkEnd w:id="49"/>
      <w:bookmarkEnd w:id="50"/>
    </w:p>
    <w:p w:rsidR="001C619E" w:rsidRDefault="001C619E" w:rsidP="00190F81"/>
    <w:p w:rsidR="00190F81" w:rsidRDefault="00190F81" w:rsidP="00190F81">
      <w:r>
        <w:t>Normenwerke siehe Kapitel 6.1</w:t>
      </w:r>
    </w:p>
    <w:p w:rsidR="00190F81" w:rsidRPr="009039B8" w:rsidRDefault="00380BCC" w:rsidP="00190F81">
      <w:pPr>
        <w:pStyle w:val="StandardAbs"/>
      </w:pPr>
      <w:hyperlink r:id="rId16" w:history="1">
        <w:r w:rsidR="00190F81" w:rsidRPr="00F971DF">
          <w:rPr>
            <w:rStyle w:val="Hyperlink"/>
          </w:rPr>
          <w:t>http://www.bhkw-anlagen.com/100kwbiomassebhkw/strohballenvergaser/strohalsbrennstoff/index.html</w:t>
        </w:r>
      </w:hyperlink>
      <w:r w:rsidR="00190F81">
        <w:t xml:space="preserve"> („Stroh als Brenn</w:t>
      </w:r>
      <w:r w:rsidR="00190F81">
        <w:softHyphen/>
        <w:t>stoff“, abgeru</w:t>
      </w:r>
      <w:r w:rsidR="00190F81">
        <w:softHyphen/>
        <w:t>fen am 04.06.2014)</w:t>
      </w:r>
    </w:p>
    <w:p w:rsidR="00190F81" w:rsidRDefault="00190F81" w:rsidP="00190F81">
      <w:pPr>
        <w:pStyle w:val="StandardAbs"/>
      </w:pPr>
      <w:r>
        <w:t>KRICK</w:t>
      </w:r>
      <w:r w:rsidRPr="00993111">
        <w:t xml:space="preserve"> Benjamin: Untersuchung von Strohballen und Strohballenkonstruktionen hinsichtlich ihrer Anwendung für ein energiesparendes Bauen unter besonderer Berücksichtigung der lasttragenden Bauweise. Dissertation, 3. Juni 2008</w:t>
      </w:r>
    </w:p>
    <w:p w:rsidR="00B137EA" w:rsidRDefault="00B137EA" w:rsidP="00190F81">
      <w:pPr>
        <w:rPr>
          <w:lang w:val="de-AT"/>
        </w:rPr>
      </w:pPr>
    </w:p>
    <w:sectPr w:rsidR="00B137EA" w:rsidSect="00F32222">
      <w:pgSz w:w="11906" w:h="16838" w:code="9"/>
      <w:pgMar w:top="1134" w:right="991" w:bottom="993" w:left="99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91A" w:rsidRDefault="0018691A" w:rsidP="00FB5D78">
      <w:r>
        <w:separator/>
      </w:r>
    </w:p>
  </w:endnote>
  <w:endnote w:type="continuationSeparator" w:id="0">
    <w:p w:rsidR="0018691A" w:rsidRDefault="0018691A"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7365D" w:themeColor="text2" w:themeShade="BF"/>
      </w:rPr>
      <w:id w:val="10454246"/>
      <w:docPartObj>
        <w:docPartGallery w:val="Page Numbers (Bottom of Page)"/>
        <w:docPartUnique/>
      </w:docPartObj>
    </w:sdtPr>
    <w:sdtContent>
      <w:sdt>
        <w:sdtPr>
          <w:rPr>
            <w:color w:val="17365D" w:themeColor="text2" w:themeShade="BF"/>
          </w:rPr>
          <w:id w:val="10454247"/>
          <w:docPartObj>
            <w:docPartGallery w:val="Page Numbers (Top of Page)"/>
            <w:docPartUnique/>
          </w:docPartObj>
        </w:sdtPr>
        <w:sdtContent>
          <w:p w:rsidR="00380BCC" w:rsidRPr="00873024" w:rsidRDefault="00380BCC" w:rsidP="00873024">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sidR="00935E4A">
              <w:rPr>
                <w:b/>
                <w:noProof/>
                <w:color w:val="17365D" w:themeColor="text2" w:themeShade="BF"/>
              </w:rPr>
              <w:t>17</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sidR="00935E4A">
              <w:rPr>
                <w:b/>
                <w:noProof/>
                <w:color w:val="17365D" w:themeColor="text2" w:themeShade="BF"/>
              </w:rPr>
              <w:t>17</w:t>
            </w:r>
            <w:r w:rsidRPr="00A43ADA">
              <w:rPr>
                <w:b/>
                <w:color w:val="17365D" w:themeColor="text2" w:themeShade="BF"/>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BCC" w:rsidRDefault="00380BCC" w:rsidP="006C7B37">
    <w:pPr>
      <w:pStyle w:val="Fuzeile"/>
      <w:jc w:val="center"/>
    </w:pPr>
  </w:p>
  <w:sdt>
    <w:sdtPr>
      <w:rPr>
        <w:color w:val="17365D" w:themeColor="text2" w:themeShade="BF"/>
      </w:rPr>
      <w:id w:val="10454248"/>
      <w:docPartObj>
        <w:docPartGallery w:val="Page Numbers (Top of Page)"/>
        <w:docPartUnique/>
      </w:docPartObj>
    </w:sdtPr>
    <w:sdtContent>
      <w:p w:rsidR="00380BCC" w:rsidRDefault="00380BCC" w:rsidP="00713FE1">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sidR="00935E4A">
          <w:rPr>
            <w:b/>
            <w:noProof/>
            <w:color w:val="17365D" w:themeColor="text2" w:themeShade="BF"/>
          </w:rPr>
          <w:t>6</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sidR="00935E4A">
          <w:rPr>
            <w:b/>
            <w:noProof/>
            <w:color w:val="17365D" w:themeColor="text2" w:themeShade="BF"/>
          </w:rPr>
          <w:t>17</w:t>
        </w:r>
        <w:r w:rsidRPr="00A43ADA">
          <w:rPr>
            <w:b/>
            <w:color w:val="17365D" w:themeColor="text2" w:themeShade="BF"/>
            <w:sz w:val="24"/>
            <w:szCs w:val="24"/>
          </w:rPr>
          <w:fldChar w:fldCharType="end"/>
        </w:r>
      </w:p>
    </w:sdtContent>
  </w:sdt>
  <w:p w:rsidR="00380BCC" w:rsidRDefault="00380BC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91A" w:rsidRDefault="0018691A" w:rsidP="00FB5D78">
      <w:r>
        <w:separator/>
      </w:r>
    </w:p>
  </w:footnote>
  <w:footnote w:type="continuationSeparator" w:id="0">
    <w:p w:rsidR="0018691A" w:rsidRDefault="0018691A" w:rsidP="00FB5D78">
      <w:r>
        <w:continuationSeparator/>
      </w:r>
    </w:p>
  </w:footnote>
  <w:footnote w:id="1">
    <w:p w:rsidR="00380BCC" w:rsidRPr="00BC2239" w:rsidRDefault="00380BCC" w:rsidP="00AE27DC">
      <w:pPr>
        <w:pStyle w:val="Funotentext"/>
        <w:jc w:val="left"/>
        <w:rPr>
          <w:rStyle w:val="Funotenzeichen"/>
          <w:sz w:val="18"/>
          <w:szCs w:val="18"/>
          <w:vertAlign w:val="baseline"/>
        </w:rPr>
      </w:pPr>
      <w:r w:rsidRPr="00BC2239">
        <w:rPr>
          <w:rStyle w:val="Funotenzeichen"/>
          <w:sz w:val="18"/>
          <w:szCs w:val="18"/>
        </w:rPr>
        <w:footnoteRef/>
      </w:r>
      <w:r w:rsidRPr="00BC2239">
        <w:rPr>
          <w:rStyle w:val="Funotenzeichen"/>
          <w:sz w:val="18"/>
          <w:szCs w:val="18"/>
        </w:rPr>
        <w:t xml:space="preserve"> </w:t>
      </w:r>
      <w:r>
        <w:rPr>
          <w:sz w:val="18"/>
          <w:szCs w:val="18"/>
        </w:rPr>
        <w:tab/>
      </w:r>
      <w:r w:rsidRPr="00BC2239">
        <w:rPr>
          <w:rStyle w:val="Funotenzeichen"/>
          <w:sz w:val="18"/>
          <w:szCs w:val="18"/>
          <w:vertAlign w:val="baseline"/>
        </w:rPr>
        <w:t>Diese oder vergleichbare Vorgangsweisen sind erforderlich und europaweit üblich, da derzeit die wenigsten Hersteller normkonforme Referenznutzungs</w:t>
      </w:r>
      <w:r w:rsidRPr="00BC2239">
        <w:rPr>
          <w:rStyle w:val="Funotenzeichen"/>
          <w:sz w:val="18"/>
          <w:szCs w:val="18"/>
          <w:vertAlign w:val="baseline"/>
        </w:rPr>
        <w:softHyphen/>
        <w:t>dauern für ihre Produkte erhoben haben. Andern</w:t>
      </w:r>
      <w:r w:rsidRPr="00BC2239">
        <w:rPr>
          <w:rStyle w:val="Funotenzeichen"/>
          <w:sz w:val="18"/>
          <w:szCs w:val="18"/>
          <w:vertAlign w:val="baseline"/>
        </w:rPr>
        <w:softHyphen/>
        <w:t>falls könnten keine „von der Wiege bis zur Bahre EPDs“ ausgestellt werden, obwohl alle sonstigen erforderlichen Daten über den Lebenszyklus des Produkts vorlägen.</w:t>
      </w:r>
    </w:p>
  </w:footnote>
  <w:footnote w:id="2">
    <w:p w:rsidR="00380BCC" w:rsidRPr="00BC2239" w:rsidRDefault="00380BCC" w:rsidP="00AE27DC">
      <w:pPr>
        <w:pStyle w:val="Funotentext"/>
        <w:jc w:val="left"/>
        <w:rPr>
          <w:color w:val="0000FF"/>
          <w:sz w:val="18"/>
          <w:szCs w:val="18"/>
          <w:u w:val="single"/>
        </w:rPr>
      </w:pPr>
      <w:r w:rsidRPr="00A737E8">
        <w:rPr>
          <w:rStyle w:val="Funotenzeichen"/>
          <w:sz w:val="18"/>
          <w:szCs w:val="18"/>
        </w:rPr>
        <w:footnoteRef/>
      </w:r>
      <w:r w:rsidRPr="00A737E8">
        <w:rPr>
          <w:rStyle w:val="Hyperlink"/>
          <w:sz w:val="18"/>
          <w:szCs w:val="18"/>
        </w:rPr>
        <w:t xml:space="preserve"> Zugriff: http://www.</w:t>
      </w:r>
      <w:r>
        <w:rPr>
          <w:rStyle w:val="Hyperlink"/>
          <w:sz w:val="18"/>
          <w:szCs w:val="18"/>
        </w:rPr>
        <w:t>bau-epd.at</w:t>
      </w:r>
      <w:r w:rsidRPr="00A737E8">
        <w:rPr>
          <w:rStyle w:val="Hyperlink"/>
          <w:sz w:val="18"/>
          <w:szCs w:val="18"/>
        </w:rPr>
        <w:t>.</w:t>
      </w:r>
      <w:r>
        <w:rPr>
          <w:rStyle w:val="Hyperlink"/>
          <w:sz w:val="18"/>
          <w:szCs w:val="18"/>
        </w:rPr>
        <w:t>/Neue PKR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BCC" w:rsidRPr="006674CC" w:rsidRDefault="00380BCC">
    <w:pPr>
      <w:pStyle w:val="Kopfzeile"/>
      <w:rPr>
        <w:color w:val="17365D" w:themeColor="text2" w:themeShade="BF"/>
      </w:rPr>
    </w:pPr>
    <w:r w:rsidRPr="006674CC">
      <w:rPr>
        <w:noProof/>
        <w:color w:val="17365D" w:themeColor="text2" w:themeShade="BF"/>
        <w:lang w:val="de-AT" w:eastAsia="de-AT"/>
      </w:rPr>
      <w:drawing>
        <wp:anchor distT="0" distB="0" distL="114300" distR="114300" simplePos="0" relativeHeight="251658752" behindDoc="0" locked="0" layoutInCell="1" allowOverlap="1" wp14:anchorId="6AE66116" wp14:editId="232786E0">
          <wp:simplePos x="0" y="0"/>
          <wp:positionH relativeFrom="column">
            <wp:posOffset>4941183</wp:posOffset>
          </wp:positionH>
          <wp:positionV relativeFrom="paragraph">
            <wp:posOffset>-135890</wp:posOffset>
          </wp:positionV>
          <wp:extent cx="1313599" cy="362309"/>
          <wp:effectExtent l="19050" t="0" r="851"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6674CC">
      <w:rPr>
        <w:color w:val="17365D" w:themeColor="text2" w:themeShade="BF"/>
      </w:rPr>
      <w:t xml:space="preserve">PKR Teil B – Dämmstoffe aus </w:t>
    </w:r>
    <w:r>
      <w:rPr>
        <w:color w:val="17365D" w:themeColor="text2" w:themeShade="BF"/>
      </w:rPr>
      <w:t>nachwachsenden Rohstoffen</w:t>
    </w:r>
    <w:r w:rsidRPr="006674CC">
      <w:rPr>
        <w:color w:val="17365D" w:themeColor="text2" w:themeShade="BF"/>
      </w:rPr>
      <w:t xml:space="preserve"> </w:t>
    </w:r>
    <w:r>
      <w:rPr>
        <w:color w:val="17365D" w:themeColor="text2" w:themeShade="BF"/>
      </w:rPr>
      <w:t>25</w:t>
    </w:r>
    <w:r w:rsidRPr="006674CC">
      <w:rPr>
        <w:color w:val="17365D" w:themeColor="text2" w:themeShade="BF"/>
      </w:rPr>
      <w:t>.0</w:t>
    </w:r>
    <w:r>
      <w:rPr>
        <w:color w:val="17365D" w:themeColor="text2" w:themeShade="BF"/>
      </w:rPr>
      <w:t>6</w:t>
    </w:r>
    <w:r w:rsidRPr="006674CC">
      <w:rPr>
        <w:color w:val="17365D" w:themeColor="text2" w:themeShade="BF"/>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21C"/>
    <w:multiLevelType w:val="hybridMultilevel"/>
    <w:tmpl w:val="B726E2EC"/>
    <w:lvl w:ilvl="0" w:tplc="C98212EA">
      <w:start w:val="1"/>
      <w:numFmt w:val="decimal"/>
      <w:pStyle w:val="berschriftgrauFett"/>
      <w:lvlText w:val="%1.1"/>
      <w:lvlJc w:val="left"/>
      <w:pPr>
        <w:ind w:left="360" w:hanging="360"/>
      </w:pPr>
      <w:rPr>
        <w:rFonts w:hint="default"/>
      </w:rPr>
    </w:lvl>
    <w:lvl w:ilvl="1" w:tplc="0E7AD49E" w:tentative="1">
      <w:start w:val="1"/>
      <w:numFmt w:val="lowerLetter"/>
      <w:lvlText w:val="%2."/>
      <w:lvlJc w:val="left"/>
      <w:pPr>
        <w:ind w:left="1440" w:hanging="360"/>
      </w:p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1">
    <w:nsid w:val="06A7521C"/>
    <w:multiLevelType w:val="hybridMultilevel"/>
    <w:tmpl w:val="C292DF68"/>
    <w:lvl w:ilvl="0" w:tplc="0C07000F">
      <w:start w:val="1"/>
      <w:numFmt w:val="decimal"/>
      <w:lvlText w:val="%1."/>
      <w:lvlJc w:val="left"/>
      <w:pPr>
        <w:tabs>
          <w:tab w:val="num" w:pos="720"/>
        </w:tabs>
        <w:ind w:left="720" w:hanging="360"/>
      </w:p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
    <w:nsid w:val="09A371D3"/>
    <w:multiLevelType w:val="hybridMultilevel"/>
    <w:tmpl w:val="FDB222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B6F5487"/>
    <w:multiLevelType w:val="hybridMultilevel"/>
    <w:tmpl w:val="F434254C"/>
    <w:lvl w:ilvl="0" w:tplc="F8FA0F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1E11084"/>
    <w:multiLevelType w:val="hybridMultilevel"/>
    <w:tmpl w:val="AE2C7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9422B49"/>
    <w:multiLevelType w:val="hybridMultilevel"/>
    <w:tmpl w:val="909419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C2A1FD8"/>
    <w:multiLevelType w:val="hybridMultilevel"/>
    <w:tmpl w:val="9710E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E432FF9"/>
    <w:multiLevelType w:val="hybridMultilevel"/>
    <w:tmpl w:val="41E45D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04829EB"/>
    <w:multiLevelType w:val="hybridMultilevel"/>
    <w:tmpl w:val="2816622C"/>
    <w:lvl w:ilvl="0" w:tplc="BB926662">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2542D2F"/>
    <w:multiLevelType w:val="hybridMultilevel"/>
    <w:tmpl w:val="8F621B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88C2F8A"/>
    <w:multiLevelType w:val="hybridMultilevel"/>
    <w:tmpl w:val="01EC21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42E14F2"/>
    <w:multiLevelType w:val="hybridMultilevel"/>
    <w:tmpl w:val="6BD2E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7975FE3"/>
    <w:multiLevelType w:val="hybridMultilevel"/>
    <w:tmpl w:val="DFBA60DC"/>
    <w:lvl w:ilvl="0" w:tplc="EBAE08C0">
      <w:start w:val="1"/>
      <w:numFmt w:val="bullet"/>
      <w:pStyle w:val="Aufzhlung"/>
      <w:lvlText w:val=""/>
      <w:lvlJc w:val="left"/>
      <w:pPr>
        <w:ind w:left="700"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5">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4802376D"/>
    <w:multiLevelType w:val="hybridMultilevel"/>
    <w:tmpl w:val="FC46C0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2EF5CA9"/>
    <w:multiLevelType w:val="multilevel"/>
    <w:tmpl w:val="0C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751195D"/>
    <w:multiLevelType w:val="multilevel"/>
    <w:tmpl w:val="C568E446"/>
    <w:lvl w:ilvl="0">
      <w:start w:val="2"/>
      <w:numFmt w:val="decimal"/>
      <w:pStyle w:val="berschrift1"/>
      <w:lvlText w:val="%1."/>
      <w:lvlJc w:val="left"/>
      <w:pPr>
        <w:ind w:left="360" w:hanging="360"/>
      </w:pPr>
      <w:rPr>
        <w:rFonts w:asciiTheme="minorHAnsi" w:hAnsiTheme="minorHAnsi" w:cstheme="minorHAnsi" w:hint="default"/>
        <w:b/>
        <w:bCs w:val="0"/>
        <w:i w:val="0"/>
        <w:iCs w:val="0"/>
        <w:caps w:val="0"/>
        <w:smallCaps w:val="0"/>
        <w:strike w:val="0"/>
        <w:dstrike w:val="0"/>
        <w:noProof w:val="0"/>
        <w:snapToGrid w:val="0"/>
        <w:vanish w:val="0"/>
        <w:color w:val="17365D" w:themeColor="text2" w:themeShade="BF"/>
        <w:spacing w:val="0"/>
        <w:w w:val="0"/>
        <w:kern w:val="0"/>
        <w:position w:val="0"/>
        <w:szCs w:val="0"/>
        <w:u w:val="none"/>
        <w:vertAlign w:val="baseline"/>
        <w:em w:val="none"/>
      </w:rPr>
    </w:lvl>
    <w:lvl w:ilvl="1">
      <w:start w:val="1"/>
      <w:numFmt w:val="decimal"/>
      <w:pStyle w:val="berschrift2"/>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5FA34898"/>
    <w:multiLevelType w:val="hybridMultilevel"/>
    <w:tmpl w:val="6CC06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31975C1"/>
    <w:multiLevelType w:val="hybridMultilevel"/>
    <w:tmpl w:val="625E1AE4"/>
    <w:lvl w:ilvl="0" w:tplc="8C5C09E6">
      <w:numFmt w:val="bullet"/>
      <w:lvlText w:val="-"/>
      <w:lvlJc w:val="left"/>
      <w:pPr>
        <w:ind w:left="1065" w:hanging="705"/>
      </w:pPr>
      <w:rPr>
        <w:rFonts w:ascii="Arial" w:eastAsiaTheme="minorHAns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6571777D"/>
    <w:multiLevelType w:val="hybridMultilevel"/>
    <w:tmpl w:val="843EAF14"/>
    <w:lvl w:ilvl="0" w:tplc="8C5C09E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69454CD4"/>
    <w:multiLevelType w:val="hybridMultilevel"/>
    <w:tmpl w:val="45DCA084"/>
    <w:lvl w:ilvl="0" w:tplc="A02061CC">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24">
    <w:nsid w:val="6FF13C51"/>
    <w:multiLevelType w:val="hybridMultilevel"/>
    <w:tmpl w:val="4B2C6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79BF600E"/>
    <w:multiLevelType w:val="hybridMultilevel"/>
    <w:tmpl w:val="1EDC4466"/>
    <w:lvl w:ilvl="0" w:tplc="F69A21C4">
      <w:start w:val="1"/>
      <w:numFmt w:val="decimal"/>
      <w:lvlText w:val="%1"/>
      <w:lvlJc w:val="left"/>
      <w:pPr>
        <w:ind w:left="360" w:hanging="360"/>
      </w:pPr>
      <w:rPr>
        <w:rFonts w:hint="default"/>
        <w:color w:val="FFFFFF" w:themeColor="background1"/>
      </w:rPr>
    </w:lvl>
    <w:lvl w:ilvl="1" w:tplc="C4BE240A" w:tentative="1">
      <w:start w:val="1"/>
      <w:numFmt w:val="lowerLetter"/>
      <w:lvlText w:val="%2."/>
      <w:lvlJc w:val="left"/>
      <w:pPr>
        <w:ind w:left="1440" w:hanging="360"/>
      </w:pPr>
    </w:lvl>
    <w:lvl w:ilvl="2" w:tplc="F9D03F16" w:tentative="1">
      <w:start w:val="1"/>
      <w:numFmt w:val="lowerRoman"/>
      <w:lvlText w:val="%3."/>
      <w:lvlJc w:val="right"/>
      <w:pPr>
        <w:ind w:left="2160" w:hanging="180"/>
      </w:pPr>
    </w:lvl>
    <w:lvl w:ilvl="3" w:tplc="9DC07C84" w:tentative="1">
      <w:start w:val="1"/>
      <w:numFmt w:val="decimal"/>
      <w:lvlText w:val="%4."/>
      <w:lvlJc w:val="left"/>
      <w:pPr>
        <w:ind w:left="2880" w:hanging="360"/>
      </w:pPr>
    </w:lvl>
    <w:lvl w:ilvl="4" w:tplc="56FEA5E2" w:tentative="1">
      <w:start w:val="1"/>
      <w:numFmt w:val="lowerLetter"/>
      <w:lvlText w:val="%5."/>
      <w:lvlJc w:val="left"/>
      <w:pPr>
        <w:ind w:left="3600" w:hanging="360"/>
      </w:pPr>
    </w:lvl>
    <w:lvl w:ilvl="5" w:tplc="52781EAA" w:tentative="1">
      <w:start w:val="1"/>
      <w:numFmt w:val="lowerRoman"/>
      <w:lvlText w:val="%6."/>
      <w:lvlJc w:val="right"/>
      <w:pPr>
        <w:ind w:left="4320" w:hanging="180"/>
      </w:pPr>
    </w:lvl>
    <w:lvl w:ilvl="6" w:tplc="A7B2C9B8" w:tentative="1">
      <w:start w:val="1"/>
      <w:numFmt w:val="decimal"/>
      <w:lvlText w:val="%7."/>
      <w:lvlJc w:val="left"/>
      <w:pPr>
        <w:ind w:left="5040" w:hanging="360"/>
      </w:pPr>
    </w:lvl>
    <w:lvl w:ilvl="7" w:tplc="1FCAD9FE" w:tentative="1">
      <w:start w:val="1"/>
      <w:numFmt w:val="lowerLetter"/>
      <w:lvlText w:val="%8."/>
      <w:lvlJc w:val="left"/>
      <w:pPr>
        <w:ind w:left="5760" w:hanging="360"/>
      </w:pPr>
    </w:lvl>
    <w:lvl w:ilvl="8" w:tplc="8BEA3764" w:tentative="1">
      <w:start w:val="1"/>
      <w:numFmt w:val="lowerRoman"/>
      <w:lvlText w:val="%9."/>
      <w:lvlJc w:val="right"/>
      <w:pPr>
        <w:ind w:left="6480" w:hanging="180"/>
      </w:pPr>
    </w:lvl>
  </w:abstractNum>
  <w:abstractNum w:abstractNumId="26">
    <w:nsid w:val="7A166B4B"/>
    <w:multiLevelType w:val="hybridMultilevel"/>
    <w:tmpl w:val="C292DF68"/>
    <w:lvl w:ilvl="0" w:tplc="12802368">
      <w:start w:val="1"/>
      <w:numFmt w:val="decimal"/>
      <w:lvlText w:val="%1."/>
      <w:lvlJc w:val="left"/>
      <w:pPr>
        <w:tabs>
          <w:tab w:val="num" w:pos="720"/>
        </w:tabs>
        <w:ind w:left="720" w:hanging="360"/>
      </w:pPr>
    </w:lvl>
    <w:lvl w:ilvl="1" w:tplc="C27A46F4">
      <w:start w:val="1"/>
      <w:numFmt w:val="bullet"/>
      <w:lvlText w:val="o"/>
      <w:lvlJc w:val="left"/>
      <w:pPr>
        <w:tabs>
          <w:tab w:val="num" w:pos="1440"/>
        </w:tabs>
        <w:ind w:left="1440" w:hanging="360"/>
      </w:pPr>
      <w:rPr>
        <w:rFonts w:ascii="Courier New" w:hAnsi="Courier New"/>
      </w:rPr>
    </w:lvl>
    <w:lvl w:ilvl="2" w:tplc="4EAED290">
      <w:start w:val="1"/>
      <w:numFmt w:val="bullet"/>
      <w:lvlText w:val=""/>
      <w:lvlJc w:val="left"/>
      <w:pPr>
        <w:tabs>
          <w:tab w:val="num" w:pos="2160"/>
        </w:tabs>
        <w:ind w:left="2160" w:hanging="360"/>
      </w:pPr>
      <w:rPr>
        <w:rFonts w:ascii="Wingdings" w:hAnsi="Wingdings"/>
      </w:rPr>
    </w:lvl>
    <w:lvl w:ilvl="3" w:tplc="6376401C">
      <w:start w:val="1"/>
      <w:numFmt w:val="bullet"/>
      <w:lvlText w:val=""/>
      <w:lvlJc w:val="left"/>
      <w:pPr>
        <w:tabs>
          <w:tab w:val="num" w:pos="2880"/>
        </w:tabs>
        <w:ind w:left="2880" w:hanging="360"/>
      </w:pPr>
      <w:rPr>
        <w:rFonts w:ascii="Symbol" w:hAnsi="Symbol"/>
      </w:rPr>
    </w:lvl>
    <w:lvl w:ilvl="4" w:tplc="C43CAEEC">
      <w:start w:val="1"/>
      <w:numFmt w:val="bullet"/>
      <w:lvlText w:val="o"/>
      <w:lvlJc w:val="left"/>
      <w:pPr>
        <w:tabs>
          <w:tab w:val="num" w:pos="3600"/>
        </w:tabs>
        <w:ind w:left="3600" w:hanging="360"/>
      </w:pPr>
      <w:rPr>
        <w:rFonts w:ascii="Courier New" w:hAnsi="Courier New"/>
      </w:rPr>
    </w:lvl>
    <w:lvl w:ilvl="5" w:tplc="1A9C1DAC">
      <w:start w:val="1"/>
      <w:numFmt w:val="bullet"/>
      <w:lvlText w:val=""/>
      <w:lvlJc w:val="left"/>
      <w:pPr>
        <w:tabs>
          <w:tab w:val="num" w:pos="4320"/>
        </w:tabs>
        <w:ind w:left="4320" w:hanging="360"/>
      </w:pPr>
      <w:rPr>
        <w:rFonts w:ascii="Wingdings" w:hAnsi="Wingdings"/>
      </w:rPr>
    </w:lvl>
    <w:lvl w:ilvl="6" w:tplc="95161460">
      <w:start w:val="1"/>
      <w:numFmt w:val="bullet"/>
      <w:lvlText w:val=""/>
      <w:lvlJc w:val="left"/>
      <w:pPr>
        <w:tabs>
          <w:tab w:val="num" w:pos="5040"/>
        </w:tabs>
        <w:ind w:left="5040" w:hanging="360"/>
      </w:pPr>
      <w:rPr>
        <w:rFonts w:ascii="Symbol" w:hAnsi="Symbol"/>
      </w:rPr>
    </w:lvl>
    <w:lvl w:ilvl="7" w:tplc="084E049A">
      <w:start w:val="1"/>
      <w:numFmt w:val="bullet"/>
      <w:lvlText w:val="o"/>
      <w:lvlJc w:val="left"/>
      <w:pPr>
        <w:tabs>
          <w:tab w:val="num" w:pos="5760"/>
        </w:tabs>
        <w:ind w:left="5760" w:hanging="360"/>
      </w:pPr>
      <w:rPr>
        <w:rFonts w:ascii="Courier New" w:hAnsi="Courier New"/>
      </w:rPr>
    </w:lvl>
    <w:lvl w:ilvl="8" w:tplc="EFDA475A">
      <w:start w:val="1"/>
      <w:numFmt w:val="bullet"/>
      <w:lvlText w:val=""/>
      <w:lvlJc w:val="left"/>
      <w:pPr>
        <w:tabs>
          <w:tab w:val="num" w:pos="6480"/>
        </w:tabs>
        <w:ind w:left="6480" w:hanging="360"/>
      </w:pPr>
      <w:rPr>
        <w:rFonts w:ascii="Wingdings" w:hAnsi="Wingdings"/>
      </w:rPr>
    </w:lvl>
  </w:abstractNum>
  <w:abstractNum w:abstractNumId="27">
    <w:nsid w:val="7C2D2DCB"/>
    <w:multiLevelType w:val="hybridMultilevel"/>
    <w:tmpl w:val="EA4E5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7C4A000F"/>
    <w:multiLevelType w:val="hybridMultilevel"/>
    <w:tmpl w:val="D75EF28E"/>
    <w:lvl w:ilvl="0" w:tplc="0C685392">
      <w:start w:val="1"/>
      <w:numFmt w:val="bullet"/>
      <w:lvlText w:val=""/>
      <w:lvlJc w:val="left"/>
      <w:pPr>
        <w:ind w:left="1080" w:hanging="360"/>
      </w:pPr>
      <w:rPr>
        <w:rFonts w:ascii="Symbol" w:hAnsi="Symbol" w:hint="default"/>
      </w:rPr>
    </w:lvl>
    <w:lvl w:ilvl="1" w:tplc="6C4C0092" w:tentative="1">
      <w:start w:val="1"/>
      <w:numFmt w:val="bullet"/>
      <w:lvlText w:val="o"/>
      <w:lvlJc w:val="left"/>
      <w:pPr>
        <w:ind w:left="1800" w:hanging="360"/>
      </w:pPr>
      <w:rPr>
        <w:rFonts w:ascii="Courier New" w:hAnsi="Courier New" w:cs="Courier New" w:hint="default"/>
      </w:rPr>
    </w:lvl>
    <w:lvl w:ilvl="2" w:tplc="57D623D6" w:tentative="1">
      <w:start w:val="1"/>
      <w:numFmt w:val="bullet"/>
      <w:lvlText w:val=""/>
      <w:lvlJc w:val="left"/>
      <w:pPr>
        <w:ind w:left="2520" w:hanging="360"/>
      </w:pPr>
      <w:rPr>
        <w:rFonts w:ascii="Wingdings" w:hAnsi="Wingdings" w:hint="default"/>
      </w:rPr>
    </w:lvl>
    <w:lvl w:ilvl="3" w:tplc="16843BD8" w:tentative="1">
      <w:start w:val="1"/>
      <w:numFmt w:val="bullet"/>
      <w:lvlText w:val=""/>
      <w:lvlJc w:val="left"/>
      <w:pPr>
        <w:ind w:left="3240" w:hanging="360"/>
      </w:pPr>
      <w:rPr>
        <w:rFonts w:ascii="Symbol" w:hAnsi="Symbol" w:hint="default"/>
      </w:rPr>
    </w:lvl>
    <w:lvl w:ilvl="4" w:tplc="19982E5E" w:tentative="1">
      <w:start w:val="1"/>
      <w:numFmt w:val="bullet"/>
      <w:lvlText w:val="o"/>
      <w:lvlJc w:val="left"/>
      <w:pPr>
        <w:ind w:left="3960" w:hanging="360"/>
      </w:pPr>
      <w:rPr>
        <w:rFonts w:ascii="Courier New" w:hAnsi="Courier New" w:cs="Courier New" w:hint="default"/>
      </w:rPr>
    </w:lvl>
    <w:lvl w:ilvl="5" w:tplc="50F684D0" w:tentative="1">
      <w:start w:val="1"/>
      <w:numFmt w:val="bullet"/>
      <w:lvlText w:val=""/>
      <w:lvlJc w:val="left"/>
      <w:pPr>
        <w:ind w:left="4680" w:hanging="360"/>
      </w:pPr>
      <w:rPr>
        <w:rFonts w:ascii="Wingdings" w:hAnsi="Wingdings" w:hint="default"/>
      </w:rPr>
    </w:lvl>
    <w:lvl w:ilvl="6" w:tplc="C0B2E066" w:tentative="1">
      <w:start w:val="1"/>
      <w:numFmt w:val="bullet"/>
      <w:lvlText w:val=""/>
      <w:lvlJc w:val="left"/>
      <w:pPr>
        <w:ind w:left="5400" w:hanging="360"/>
      </w:pPr>
      <w:rPr>
        <w:rFonts w:ascii="Symbol" w:hAnsi="Symbol" w:hint="default"/>
      </w:rPr>
    </w:lvl>
    <w:lvl w:ilvl="7" w:tplc="3C68B5A6" w:tentative="1">
      <w:start w:val="1"/>
      <w:numFmt w:val="bullet"/>
      <w:lvlText w:val="o"/>
      <w:lvlJc w:val="left"/>
      <w:pPr>
        <w:ind w:left="6120" w:hanging="360"/>
      </w:pPr>
      <w:rPr>
        <w:rFonts w:ascii="Courier New" w:hAnsi="Courier New" w:cs="Courier New" w:hint="default"/>
      </w:rPr>
    </w:lvl>
    <w:lvl w:ilvl="8" w:tplc="3E1035F6"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0"/>
  </w:num>
  <w:num w:numId="4">
    <w:abstractNumId w:val="9"/>
  </w:num>
  <w:num w:numId="5">
    <w:abstractNumId w:val="12"/>
  </w:num>
  <w:num w:numId="6">
    <w:abstractNumId w:val="13"/>
  </w:num>
  <w:num w:numId="7">
    <w:abstractNumId w:val="24"/>
  </w:num>
  <w:num w:numId="8">
    <w:abstractNumId w:val="19"/>
  </w:num>
  <w:num w:numId="9">
    <w:abstractNumId w:val="26"/>
  </w:num>
  <w:num w:numId="10">
    <w:abstractNumId w:val="1"/>
  </w:num>
  <w:num w:numId="11">
    <w:abstractNumId w:val="17"/>
  </w:num>
  <w:num w:numId="12">
    <w:abstractNumId w:val="17"/>
    <w:lvlOverride w:ilvl="0">
      <w:startOverride w:val="3"/>
    </w:lvlOverride>
    <w:lvlOverride w:ilvl="1">
      <w:startOverride w:val="1"/>
    </w:lvlOverride>
  </w:num>
  <w:num w:numId="13">
    <w:abstractNumId w:val="2"/>
  </w:num>
  <w:num w:numId="14">
    <w:abstractNumId w:val="5"/>
  </w:num>
  <w:num w:numId="15">
    <w:abstractNumId w:val="22"/>
  </w:num>
  <w:num w:numId="16">
    <w:abstractNumId w:val="6"/>
  </w:num>
  <w:num w:numId="17">
    <w:abstractNumId w:val="11"/>
  </w:num>
  <w:num w:numId="18">
    <w:abstractNumId w:val="25"/>
  </w:num>
  <w:num w:numId="19">
    <w:abstractNumId w:val="28"/>
  </w:num>
  <w:num w:numId="20">
    <w:abstractNumId w:val="23"/>
  </w:num>
  <w:num w:numId="21">
    <w:abstractNumId w:val="21"/>
  </w:num>
  <w:num w:numId="22">
    <w:abstractNumId w:val="27"/>
  </w:num>
  <w:num w:numId="23">
    <w:abstractNumId w:val="20"/>
  </w:num>
  <w:num w:numId="24">
    <w:abstractNumId w:val="10"/>
  </w:num>
  <w:num w:numId="25">
    <w:abstractNumId w:val="16"/>
  </w:num>
  <w:num w:numId="26">
    <w:abstractNumId w:val="15"/>
  </w:num>
  <w:num w:numId="27">
    <w:abstractNumId w:val="8"/>
  </w:num>
  <w:num w:numId="28">
    <w:abstractNumId w:val="17"/>
    <w:lvlOverride w:ilvl="0">
      <w:startOverride w:val="3"/>
    </w:lvlOverride>
    <w:lvlOverride w:ilvl="1">
      <w:startOverride w:val="10"/>
    </w:lvlOverride>
  </w:num>
  <w:num w:numId="29">
    <w:abstractNumId w:val="14"/>
  </w:num>
  <w:num w:numId="30">
    <w:abstractNumId w:val="14"/>
  </w:num>
  <w:num w:numId="31">
    <w:abstractNumId w:val="3"/>
  </w:num>
  <w:num w:numId="32">
    <w:abstractNumId w:val="4"/>
  </w:num>
  <w:num w:numId="33">
    <w:abstractNumId w:val="18"/>
  </w:num>
  <w:num w:numId="34">
    <w:abstractNumId w:val="14"/>
  </w:num>
  <w:num w:numId="3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onsecutiveHyphenLimit w:val="1"/>
  <w:hyphenationZone w:val="142"/>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C3"/>
    <w:rsid w:val="00001713"/>
    <w:rsid w:val="00002441"/>
    <w:rsid w:val="0000270B"/>
    <w:rsid w:val="00007EB9"/>
    <w:rsid w:val="0001794D"/>
    <w:rsid w:val="000202A6"/>
    <w:rsid w:val="0002054B"/>
    <w:rsid w:val="000224B7"/>
    <w:rsid w:val="00022799"/>
    <w:rsid w:val="00023509"/>
    <w:rsid w:val="0002418F"/>
    <w:rsid w:val="00026C6C"/>
    <w:rsid w:val="00042E60"/>
    <w:rsid w:val="00044A5D"/>
    <w:rsid w:val="000615A7"/>
    <w:rsid w:val="00062328"/>
    <w:rsid w:val="00067DC8"/>
    <w:rsid w:val="0007515B"/>
    <w:rsid w:val="00076090"/>
    <w:rsid w:val="00083CFB"/>
    <w:rsid w:val="00085C9C"/>
    <w:rsid w:val="000B049C"/>
    <w:rsid w:val="000B6D61"/>
    <w:rsid w:val="000B774A"/>
    <w:rsid w:val="000C152E"/>
    <w:rsid w:val="000C1B60"/>
    <w:rsid w:val="000C48B6"/>
    <w:rsid w:val="000C7AB4"/>
    <w:rsid w:val="000C7B32"/>
    <w:rsid w:val="000D17C8"/>
    <w:rsid w:val="000D1B93"/>
    <w:rsid w:val="000E5A20"/>
    <w:rsid w:val="00102983"/>
    <w:rsid w:val="00102B71"/>
    <w:rsid w:val="00106EAB"/>
    <w:rsid w:val="00110B64"/>
    <w:rsid w:val="00112202"/>
    <w:rsid w:val="00112E5D"/>
    <w:rsid w:val="00117CCE"/>
    <w:rsid w:val="00121762"/>
    <w:rsid w:val="00131DF2"/>
    <w:rsid w:val="00136E85"/>
    <w:rsid w:val="00153861"/>
    <w:rsid w:val="00153C13"/>
    <w:rsid w:val="0015552B"/>
    <w:rsid w:val="00161EB1"/>
    <w:rsid w:val="001649B1"/>
    <w:rsid w:val="00171190"/>
    <w:rsid w:val="0017355A"/>
    <w:rsid w:val="00173752"/>
    <w:rsid w:val="00180699"/>
    <w:rsid w:val="0018144E"/>
    <w:rsid w:val="001854DD"/>
    <w:rsid w:val="0018691A"/>
    <w:rsid w:val="0018766E"/>
    <w:rsid w:val="00190F81"/>
    <w:rsid w:val="001920A4"/>
    <w:rsid w:val="00193E80"/>
    <w:rsid w:val="001A108C"/>
    <w:rsid w:val="001A4F46"/>
    <w:rsid w:val="001B1054"/>
    <w:rsid w:val="001B2B9D"/>
    <w:rsid w:val="001C0F23"/>
    <w:rsid w:val="001C619E"/>
    <w:rsid w:val="001C696E"/>
    <w:rsid w:val="001D1966"/>
    <w:rsid w:val="001D3B0D"/>
    <w:rsid w:val="001D51B4"/>
    <w:rsid w:val="001D637D"/>
    <w:rsid w:val="001D66C3"/>
    <w:rsid w:val="001D76A2"/>
    <w:rsid w:val="001E1466"/>
    <w:rsid w:val="001E1E15"/>
    <w:rsid w:val="001E2D23"/>
    <w:rsid w:val="001E2E90"/>
    <w:rsid w:val="001E4C1E"/>
    <w:rsid w:val="001F252F"/>
    <w:rsid w:val="001F48EC"/>
    <w:rsid w:val="001F5C9D"/>
    <w:rsid w:val="001F6A0B"/>
    <w:rsid w:val="0020017A"/>
    <w:rsid w:val="00203B3F"/>
    <w:rsid w:val="00204236"/>
    <w:rsid w:val="002119AC"/>
    <w:rsid w:val="0021525F"/>
    <w:rsid w:val="002247EC"/>
    <w:rsid w:val="00226D1D"/>
    <w:rsid w:val="00227D36"/>
    <w:rsid w:val="00237DFB"/>
    <w:rsid w:val="00246792"/>
    <w:rsid w:val="002475D4"/>
    <w:rsid w:val="00251B14"/>
    <w:rsid w:val="00254441"/>
    <w:rsid w:val="00254C5C"/>
    <w:rsid w:val="002569DE"/>
    <w:rsid w:val="00262AEE"/>
    <w:rsid w:val="00263004"/>
    <w:rsid w:val="00264EB9"/>
    <w:rsid w:val="00265FCC"/>
    <w:rsid w:val="0026727A"/>
    <w:rsid w:val="00271E6B"/>
    <w:rsid w:val="00282C9F"/>
    <w:rsid w:val="00287ACB"/>
    <w:rsid w:val="002906D4"/>
    <w:rsid w:val="002921BA"/>
    <w:rsid w:val="00292764"/>
    <w:rsid w:val="002934F6"/>
    <w:rsid w:val="00297F7E"/>
    <w:rsid w:val="002A2904"/>
    <w:rsid w:val="002A30AB"/>
    <w:rsid w:val="002A3E0B"/>
    <w:rsid w:val="002A61D4"/>
    <w:rsid w:val="002B1CB0"/>
    <w:rsid w:val="002B5524"/>
    <w:rsid w:val="002C43C1"/>
    <w:rsid w:val="002C7534"/>
    <w:rsid w:val="002D0A88"/>
    <w:rsid w:val="002D1F97"/>
    <w:rsid w:val="002D7095"/>
    <w:rsid w:val="002E39A4"/>
    <w:rsid w:val="002E6314"/>
    <w:rsid w:val="00301BEE"/>
    <w:rsid w:val="00302B21"/>
    <w:rsid w:val="003066FF"/>
    <w:rsid w:val="00313524"/>
    <w:rsid w:val="00320955"/>
    <w:rsid w:val="00320BB4"/>
    <w:rsid w:val="00322561"/>
    <w:rsid w:val="00322C63"/>
    <w:rsid w:val="00324343"/>
    <w:rsid w:val="0032597A"/>
    <w:rsid w:val="00326726"/>
    <w:rsid w:val="00333C14"/>
    <w:rsid w:val="00334B9A"/>
    <w:rsid w:val="0033722B"/>
    <w:rsid w:val="0034207F"/>
    <w:rsid w:val="003422AD"/>
    <w:rsid w:val="00345935"/>
    <w:rsid w:val="003509DA"/>
    <w:rsid w:val="00350CC4"/>
    <w:rsid w:val="00354273"/>
    <w:rsid w:val="00354C8B"/>
    <w:rsid w:val="00355F66"/>
    <w:rsid w:val="0036045F"/>
    <w:rsid w:val="00365690"/>
    <w:rsid w:val="003808FE"/>
    <w:rsid w:val="00380BCC"/>
    <w:rsid w:val="00382371"/>
    <w:rsid w:val="003853FB"/>
    <w:rsid w:val="003855FB"/>
    <w:rsid w:val="00385B10"/>
    <w:rsid w:val="00390885"/>
    <w:rsid w:val="00390EDF"/>
    <w:rsid w:val="00392382"/>
    <w:rsid w:val="00395DA8"/>
    <w:rsid w:val="003A051C"/>
    <w:rsid w:val="003A1120"/>
    <w:rsid w:val="003A2448"/>
    <w:rsid w:val="003B609C"/>
    <w:rsid w:val="003C35D8"/>
    <w:rsid w:val="003C5C0B"/>
    <w:rsid w:val="003D3147"/>
    <w:rsid w:val="003E03ED"/>
    <w:rsid w:val="003E0648"/>
    <w:rsid w:val="003E2381"/>
    <w:rsid w:val="003E24EF"/>
    <w:rsid w:val="00401374"/>
    <w:rsid w:val="004051CD"/>
    <w:rsid w:val="0040569F"/>
    <w:rsid w:val="00410E79"/>
    <w:rsid w:val="00416B97"/>
    <w:rsid w:val="004207C1"/>
    <w:rsid w:val="00421E49"/>
    <w:rsid w:val="004220E8"/>
    <w:rsid w:val="00422BF7"/>
    <w:rsid w:val="0043316B"/>
    <w:rsid w:val="004332DA"/>
    <w:rsid w:val="00433E46"/>
    <w:rsid w:val="00437612"/>
    <w:rsid w:val="00437640"/>
    <w:rsid w:val="004400D8"/>
    <w:rsid w:val="004416F8"/>
    <w:rsid w:val="00445DEB"/>
    <w:rsid w:val="00455EAF"/>
    <w:rsid w:val="004562E7"/>
    <w:rsid w:val="0046014D"/>
    <w:rsid w:val="004619A0"/>
    <w:rsid w:val="0046411C"/>
    <w:rsid w:val="00474271"/>
    <w:rsid w:val="00480571"/>
    <w:rsid w:val="00480EB2"/>
    <w:rsid w:val="004825EB"/>
    <w:rsid w:val="00484471"/>
    <w:rsid w:val="00490BA7"/>
    <w:rsid w:val="004914D8"/>
    <w:rsid w:val="00495634"/>
    <w:rsid w:val="004970DA"/>
    <w:rsid w:val="004A0C8B"/>
    <w:rsid w:val="004A68C4"/>
    <w:rsid w:val="004A761B"/>
    <w:rsid w:val="004C0AAE"/>
    <w:rsid w:val="004C0E14"/>
    <w:rsid w:val="004C33B1"/>
    <w:rsid w:val="004C349F"/>
    <w:rsid w:val="004C5567"/>
    <w:rsid w:val="004C5751"/>
    <w:rsid w:val="004C5AAB"/>
    <w:rsid w:val="004D0FEB"/>
    <w:rsid w:val="004E11B1"/>
    <w:rsid w:val="004E2118"/>
    <w:rsid w:val="004E2ADF"/>
    <w:rsid w:val="004E4DAC"/>
    <w:rsid w:val="004E7275"/>
    <w:rsid w:val="004F3A07"/>
    <w:rsid w:val="004F3B32"/>
    <w:rsid w:val="004F4178"/>
    <w:rsid w:val="004F4E02"/>
    <w:rsid w:val="004F5298"/>
    <w:rsid w:val="004F78AA"/>
    <w:rsid w:val="00501C76"/>
    <w:rsid w:val="00502E37"/>
    <w:rsid w:val="00504DC2"/>
    <w:rsid w:val="00537D3F"/>
    <w:rsid w:val="00541BCF"/>
    <w:rsid w:val="0054551C"/>
    <w:rsid w:val="00546460"/>
    <w:rsid w:val="00546524"/>
    <w:rsid w:val="00547C7F"/>
    <w:rsid w:val="00552540"/>
    <w:rsid w:val="005535DB"/>
    <w:rsid w:val="005762FA"/>
    <w:rsid w:val="005775D8"/>
    <w:rsid w:val="00580991"/>
    <w:rsid w:val="00581AFC"/>
    <w:rsid w:val="00583200"/>
    <w:rsid w:val="005874EE"/>
    <w:rsid w:val="005931C1"/>
    <w:rsid w:val="005A5DEA"/>
    <w:rsid w:val="005B6A8E"/>
    <w:rsid w:val="005C4F97"/>
    <w:rsid w:val="005D1385"/>
    <w:rsid w:val="005D30BF"/>
    <w:rsid w:val="005D61FD"/>
    <w:rsid w:val="005E4D75"/>
    <w:rsid w:val="005E4DAE"/>
    <w:rsid w:val="005E5AB3"/>
    <w:rsid w:val="005E5CED"/>
    <w:rsid w:val="005E61BF"/>
    <w:rsid w:val="005E7B62"/>
    <w:rsid w:val="005F0079"/>
    <w:rsid w:val="005F2D27"/>
    <w:rsid w:val="005F5D81"/>
    <w:rsid w:val="005F6785"/>
    <w:rsid w:val="006003B6"/>
    <w:rsid w:val="00601CBF"/>
    <w:rsid w:val="00606D7D"/>
    <w:rsid w:val="00614B78"/>
    <w:rsid w:val="00615142"/>
    <w:rsid w:val="00623DB8"/>
    <w:rsid w:val="00625647"/>
    <w:rsid w:val="0063070E"/>
    <w:rsid w:val="00645369"/>
    <w:rsid w:val="00647330"/>
    <w:rsid w:val="006557B3"/>
    <w:rsid w:val="0065695B"/>
    <w:rsid w:val="00661647"/>
    <w:rsid w:val="0066473D"/>
    <w:rsid w:val="00666942"/>
    <w:rsid w:val="006674CC"/>
    <w:rsid w:val="0067278A"/>
    <w:rsid w:val="00675FED"/>
    <w:rsid w:val="00680340"/>
    <w:rsid w:val="00684686"/>
    <w:rsid w:val="00685903"/>
    <w:rsid w:val="00691260"/>
    <w:rsid w:val="00691E00"/>
    <w:rsid w:val="00693060"/>
    <w:rsid w:val="00696BFC"/>
    <w:rsid w:val="0069727B"/>
    <w:rsid w:val="006A0120"/>
    <w:rsid w:val="006A5C9F"/>
    <w:rsid w:val="006A7583"/>
    <w:rsid w:val="006B2F0E"/>
    <w:rsid w:val="006C31D4"/>
    <w:rsid w:val="006C7B37"/>
    <w:rsid w:val="006D1BF0"/>
    <w:rsid w:val="006D1DAD"/>
    <w:rsid w:val="006D646D"/>
    <w:rsid w:val="006D7A93"/>
    <w:rsid w:val="006E0B11"/>
    <w:rsid w:val="006E60D4"/>
    <w:rsid w:val="006F103A"/>
    <w:rsid w:val="006F1DE0"/>
    <w:rsid w:val="006F4327"/>
    <w:rsid w:val="006F7A0B"/>
    <w:rsid w:val="007023D4"/>
    <w:rsid w:val="00703421"/>
    <w:rsid w:val="0071104C"/>
    <w:rsid w:val="00712385"/>
    <w:rsid w:val="0071292A"/>
    <w:rsid w:val="00712B29"/>
    <w:rsid w:val="0071335D"/>
    <w:rsid w:val="007134E3"/>
    <w:rsid w:val="00713FE1"/>
    <w:rsid w:val="007208F8"/>
    <w:rsid w:val="00730ADB"/>
    <w:rsid w:val="00733F80"/>
    <w:rsid w:val="00740346"/>
    <w:rsid w:val="00740848"/>
    <w:rsid w:val="00741948"/>
    <w:rsid w:val="00741F06"/>
    <w:rsid w:val="00743EC2"/>
    <w:rsid w:val="007440E7"/>
    <w:rsid w:val="007441A6"/>
    <w:rsid w:val="00746AC6"/>
    <w:rsid w:val="00747CCE"/>
    <w:rsid w:val="00753CC9"/>
    <w:rsid w:val="0076087F"/>
    <w:rsid w:val="00760CF8"/>
    <w:rsid w:val="00763AC2"/>
    <w:rsid w:val="00765F33"/>
    <w:rsid w:val="007678AD"/>
    <w:rsid w:val="00781FF5"/>
    <w:rsid w:val="007866DE"/>
    <w:rsid w:val="00790683"/>
    <w:rsid w:val="00790E1D"/>
    <w:rsid w:val="00791D79"/>
    <w:rsid w:val="00793C82"/>
    <w:rsid w:val="00794A2D"/>
    <w:rsid w:val="00796FD2"/>
    <w:rsid w:val="007972B9"/>
    <w:rsid w:val="007B6594"/>
    <w:rsid w:val="007C2D7E"/>
    <w:rsid w:val="007C688E"/>
    <w:rsid w:val="007C7005"/>
    <w:rsid w:val="007D0A96"/>
    <w:rsid w:val="007D180C"/>
    <w:rsid w:val="007D3566"/>
    <w:rsid w:val="007D5BA4"/>
    <w:rsid w:val="007E0AEC"/>
    <w:rsid w:val="007E6C49"/>
    <w:rsid w:val="007F5FAC"/>
    <w:rsid w:val="00800720"/>
    <w:rsid w:val="00802621"/>
    <w:rsid w:val="00804B3D"/>
    <w:rsid w:val="0080505E"/>
    <w:rsid w:val="008059B8"/>
    <w:rsid w:val="00810383"/>
    <w:rsid w:val="0081617D"/>
    <w:rsid w:val="008174BF"/>
    <w:rsid w:val="008216D9"/>
    <w:rsid w:val="008222FA"/>
    <w:rsid w:val="008231EE"/>
    <w:rsid w:val="0082491A"/>
    <w:rsid w:val="008351B3"/>
    <w:rsid w:val="0083785D"/>
    <w:rsid w:val="00843DED"/>
    <w:rsid w:val="00850A4A"/>
    <w:rsid w:val="00853ED5"/>
    <w:rsid w:val="008542AE"/>
    <w:rsid w:val="008575BD"/>
    <w:rsid w:val="00861BB0"/>
    <w:rsid w:val="00861DDB"/>
    <w:rsid w:val="00864EEF"/>
    <w:rsid w:val="008665CC"/>
    <w:rsid w:val="00873024"/>
    <w:rsid w:val="00873BAC"/>
    <w:rsid w:val="00877E1B"/>
    <w:rsid w:val="00882380"/>
    <w:rsid w:val="00883F50"/>
    <w:rsid w:val="008858E4"/>
    <w:rsid w:val="00886AF5"/>
    <w:rsid w:val="00886F5A"/>
    <w:rsid w:val="0089170F"/>
    <w:rsid w:val="00894C78"/>
    <w:rsid w:val="008A0D4F"/>
    <w:rsid w:val="008A22FF"/>
    <w:rsid w:val="008A66AE"/>
    <w:rsid w:val="008A693E"/>
    <w:rsid w:val="008A7055"/>
    <w:rsid w:val="008B1A82"/>
    <w:rsid w:val="008B25ED"/>
    <w:rsid w:val="008B5705"/>
    <w:rsid w:val="008B5853"/>
    <w:rsid w:val="008C0A45"/>
    <w:rsid w:val="008C2773"/>
    <w:rsid w:val="008C4BFB"/>
    <w:rsid w:val="008D0D12"/>
    <w:rsid w:val="008D3D66"/>
    <w:rsid w:val="008D5687"/>
    <w:rsid w:val="008D6980"/>
    <w:rsid w:val="008F0D08"/>
    <w:rsid w:val="008F14A7"/>
    <w:rsid w:val="00900236"/>
    <w:rsid w:val="009115BA"/>
    <w:rsid w:val="009149D9"/>
    <w:rsid w:val="00917A59"/>
    <w:rsid w:val="0092197A"/>
    <w:rsid w:val="00924536"/>
    <w:rsid w:val="00925DA9"/>
    <w:rsid w:val="009314F2"/>
    <w:rsid w:val="0093150A"/>
    <w:rsid w:val="00932CD9"/>
    <w:rsid w:val="00935830"/>
    <w:rsid w:val="00935E4A"/>
    <w:rsid w:val="00942C7A"/>
    <w:rsid w:val="00957113"/>
    <w:rsid w:val="0096117B"/>
    <w:rsid w:val="00961F0D"/>
    <w:rsid w:val="0096245D"/>
    <w:rsid w:val="00966AE6"/>
    <w:rsid w:val="009701C3"/>
    <w:rsid w:val="00971B85"/>
    <w:rsid w:val="00980C6E"/>
    <w:rsid w:val="00981534"/>
    <w:rsid w:val="0098582C"/>
    <w:rsid w:val="009965D5"/>
    <w:rsid w:val="009A0BC1"/>
    <w:rsid w:val="009A56A1"/>
    <w:rsid w:val="009A7FDC"/>
    <w:rsid w:val="009B2B79"/>
    <w:rsid w:val="009B7262"/>
    <w:rsid w:val="009C08BE"/>
    <w:rsid w:val="009C0C73"/>
    <w:rsid w:val="009C0ED9"/>
    <w:rsid w:val="009C1DC2"/>
    <w:rsid w:val="009C3E0D"/>
    <w:rsid w:val="009D5F93"/>
    <w:rsid w:val="009E00AF"/>
    <w:rsid w:val="009E26B1"/>
    <w:rsid w:val="009E7539"/>
    <w:rsid w:val="009F2CF6"/>
    <w:rsid w:val="00A037C8"/>
    <w:rsid w:val="00A05927"/>
    <w:rsid w:val="00A1089C"/>
    <w:rsid w:val="00A1381B"/>
    <w:rsid w:val="00A2176F"/>
    <w:rsid w:val="00A228D9"/>
    <w:rsid w:val="00A303D5"/>
    <w:rsid w:val="00A30F7E"/>
    <w:rsid w:val="00A32CE4"/>
    <w:rsid w:val="00A33129"/>
    <w:rsid w:val="00A36AF9"/>
    <w:rsid w:val="00A40915"/>
    <w:rsid w:val="00A40B12"/>
    <w:rsid w:val="00A40DEF"/>
    <w:rsid w:val="00A411E7"/>
    <w:rsid w:val="00A43ADA"/>
    <w:rsid w:val="00A46B0E"/>
    <w:rsid w:val="00A501F2"/>
    <w:rsid w:val="00A5412D"/>
    <w:rsid w:val="00A567ED"/>
    <w:rsid w:val="00A5725B"/>
    <w:rsid w:val="00A608E5"/>
    <w:rsid w:val="00A621CB"/>
    <w:rsid w:val="00A65489"/>
    <w:rsid w:val="00A67E3E"/>
    <w:rsid w:val="00A70AAF"/>
    <w:rsid w:val="00A71E78"/>
    <w:rsid w:val="00A73417"/>
    <w:rsid w:val="00A737E8"/>
    <w:rsid w:val="00A81524"/>
    <w:rsid w:val="00A86B7D"/>
    <w:rsid w:val="00A870EF"/>
    <w:rsid w:val="00A87D48"/>
    <w:rsid w:val="00A90D26"/>
    <w:rsid w:val="00A90EF3"/>
    <w:rsid w:val="00A929CB"/>
    <w:rsid w:val="00AA42CA"/>
    <w:rsid w:val="00AA67F8"/>
    <w:rsid w:val="00AB1A50"/>
    <w:rsid w:val="00AB475E"/>
    <w:rsid w:val="00AC28E6"/>
    <w:rsid w:val="00AC5930"/>
    <w:rsid w:val="00AC6D7D"/>
    <w:rsid w:val="00AC7903"/>
    <w:rsid w:val="00AD1C49"/>
    <w:rsid w:val="00AD7723"/>
    <w:rsid w:val="00AE27DC"/>
    <w:rsid w:val="00AE349F"/>
    <w:rsid w:val="00AE498E"/>
    <w:rsid w:val="00AE4C4D"/>
    <w:rsid w:val="00AE6D69"/>
    <w:rsid w:val="00B0164C"/>
    <w:rsid w:val="00B046EF"/>
    <w:rsid w:val="00B05499"/>
    <w:rsid w:val="00B137EA"/>
    <w:rsid w:val="00B20DDD"/>
    <w:rsid w:val="00B22125"/>
    <w:rsid w:val="00B238F4"/>
    <w:rsid w:val="00B24C90"/>
    <w:rsid w:val="00B3318B"/>
    <w:rsid w:val="00B333FB"/>
    <w:rsid w:val="00B4266E"/>
    <w:rsid w:val="00B4408E"/>
    <w:rsid w:val="00B45B6E"/>
    <w:rsid w:val="00B5429C"/>
    <w:rsid w:val="00B605AD"/>
    <w:rsid w:val="00B63E85"/>
    <w:rsid w:val="00B73245"/>
    <w:rsid w:val="00B82622"/>
    <w:rsid w:val="00B83374"/>
    <w:rsid w:val="00B92983"/>
    <w:rsid w:val="00B93365"/>
    <w:rsid w:val="00B94542"/>
    <w:rsid w:val="00B95690"/>
    <w:rsid w:val="00BA001F"/>
    <w:rsid w:val="00BA04FB"/>
    <w:rsid w:val="00BA5594"/>
    <w:rsid w:val="00BB17CF"/>
    <w:rsid w:val="00BC6BD9"/>
    <w:rsid w:val="00BC746E"/>
    <w:rsid w:val="00BD1A67"/>
    <w:rsid w:val="00BD6E05"/>
    <w:rsid w:val="00BD7391"/>
    <w:rsid w:val="00BE1DED"/>
    <w:rsid w:val="00BE4D5A"/>
    <w:rsid w:val="00BE57D5"/>
    <w:rsid w:val="00BE62EB"/>
    <w:rsid w:val="00BF281B"/>
    <w:rsid w:val="00C0748B"/>
    <w:rsid w:val="00C10211"/>
    <w:rsid w:val="00C17A98"/>
    <w:rsid w:val="00C2511E"/>
    <w:rsid w:val="00C255D9"/>
    <w:rsid w:val="00C318A1"/>
    <w:rsid w:val="00C372E1"/>
    <w:rsid w:val="00C37F3F"/>
    <w:rsid w:val="00C37FB7"/>
    <w:rsid w:val="00C415A6"/>
    <w:rsid w:val="00C479BD"/>
    <w:rsid w:val="00C54C12"/>
    <w:rsid w:val="00C72B27"/>
    <w:rsid w:val="00C938D7"/>
    <w:rsid w:val="00C93ABD"/>
    <w:rsid w:val="00C93D0B"/>
    <w:rsid w:val="00C94669"/>
    <w:rsid w:val="00C9653D"/>
    <w:rsid w:val="00CA67A7"/>
    <w:rsid w:val="00CB19E1"/>
    <w:rsid w:val="00CB3C0B"/>
    <w:rsid w:val="00CB5625"/>
    <w:rsid w:val="00CD0364"/>
    <w:rsid w:val="00CD2533"/>
    <w:rsid w:val="00CD7F8E"/>
    <w:rsid w:val="00CF07A7"/>
    <w:rsid w:val="00D0126A"/>
    <w:rsid w:val="00D11275"/>
    <w:rsid w:val="00D117EE"/>
    <w:rsid w:val="00D2038E"/>
    <w:rsid w:val="00D217D4"/>
    <w:rsid w:val="00D2190E"/>
    <w:rsid w:val="00D21DFF"/>
    <w:rsid w:val="00D25240"/>
    <w:rsid w:val="00D2607F"/>
    <w:rsid w:val="00D272BA"/>
    <w:rsid w:val="00D33C03"/>
    <w:rsid w:val="00D33D86"/>
    <w:rsid w:val="00D46D94"/>
    <w:rsid w:val="00D51288"/>
    <w:rsid w:val="00D51891"/>
    <w:rsid w:val="00D54B4B"/>
    <w:rsid w:val="00D57C6A"/>
    <w:rsid w:val="00D651F0"/>
    <w:rsid w:val="00D70748"/>
    <w:rsid w:val="00D70FE6"/>
    <w:rsid w:val="00D73DA6"/>
    <w:rsid w:val="00D74430"/>
    <w:rsid w:val="00D7487F"/>
    <w:rsid w:val="00D807B9"/>
    <w:rsid w:val="00D8118C"/>
    <w:rsid w:val="00D81C15"/>
    <w:rsid w:val="00D843ED"/>
    <w:rsid w:val="00D91B1E"/>
    <w:rsid w:val="00D92F9A"/>
    <w:rsid w:val="00D93F9C"/>
    <w:rsid w:val="00D95AAD"/>
    <w:rsid w:val="00D9709C"/>
    <w:rsid w:val="00D97211"/>
    <w:rsid w:val="00DA074E"/>
    <w:rsid w:val="00DA19B1"/>
    <w:rsid w:val="00DA1EAF"/>
    <w:rsid w:val="00DA37E4"/>
    <w:rsid w:val="00DB2BC9"/>
    <w:rsid w:val="00DB5D0E"/>
    <w:rsid w:val="00DB73EF"/>
    <w:rsid w:val="00DC0071"/>
    <w:rsid w:val="00DD02C9"/>
    <w:rsid w:val="00DD0F64"/>
    <w:rsid w:val="00DD2B91"/>
    <w:rsid w:val="00DD4DAC"/>
    <w:rsid w:val="00DD655F"/>
    <w:rsid w:val="00DE110E"/>
    <w:rsid w:val="00DE3581"/>
    <w:rsid w:val="00DE5B7D"/>
    <w:rsid w:val="00DF1682"/>
    <w:rsid w:val="00DF2816"/>
    <w:rsid w:val="00DF5E75"/>
    <w:rsid w:val="00DF6A01"/>
    <w:rsid w:val="00DF7D15"/>
    <w:rsid w:val="00E01B24"/>
    <w:rsid w:val="00E058BF"/>
    <w:rsid w:val="00E06F6E"/>
    <w:rsid w:val="00E070E2"/>
    <w:rsid w:val="00E170F3"/>
    <w:rsid w:val="00E24716"/>
    <w:rsid w:val="00E2549D"/>
    <w:rsid w:val="00E256C1"/>
    <w:rsid w:val="00E31B89"/>
    <w:rsid w:val="00E32D61"/>
    <w:rsid w:val="00E33F5E"/>
    <w:rsid w:val="00E34D2D"/>
    <w:rsid w:val="00E35FBA"/>
    <w:rsid w:val="00E37EC2"/>
    <w:rsid w:val="00E43913"/>
    <w:rsid w:val="00E47B00"/>
    <w:rsid w:val="00E47DA5"/>
    <w:rsid w:val="00E5028B"/>
    <w:rsid w:val="00E540D5"/>
    <w:rsid w:val="00E5547B"/>
    <w:rsid w:val="00E60D37"/>
    <w:rsid w:val="00E642D8"/>
    <w:rsid w:val="00E673F2"/>
    <w:rsid w:val="00E72823"/>
    <w:rsid w:val="00E77DE3"/>
    <w:rsid w:val="00E77E1E"/>
    <w:rsid w:val="00E8033B"/>
    <w:rsid w:val="00E8218E"/>
    <w:rsid w:val="00E909CB"/>
    <w:rsid w:val="00E90FEC"/>
    <w:rsid w:val="00E9122F"/>
    <w:rsid w:val="00E91EF1"/>
    <w:rsid w:val="00E932CD"/>
    <w:rsid w:val="00E97698"/>
    <w:rsid w:val="00EB33D9"/>
    <w:rsid w:val="00EB783E"/>
    <w:rsid w:val="00ED4233"/>
    <w:rsid w:val="00EE15E1"/>
    <w:rsid w:val="00EE1EFA"/>
    <w:rsid w:val="00EE4FA8"/>
    <w:rsid w:val="00EE6C4A"/>
    <w:rsid w:val="00EF38A1"/>
    <w:rsid w:val="00F00FAB"/>
    <w:rsid w:val="00F012B4"/>
    <w:rsid w:val="00F01316"/>
    <w:rsid w:val="00F15C79"/>
    <w:rsid w:val="00F17F91"/>
    <w:rsid w:val="00F24D4B"/>
    <w:rsid w:val="00F25ED4"/>
    <w:rsid w:val="00F2661C"/>
    <w:rsid w:val="00F31967"/>
    <w:rsid w:val="00F32222"/>
    <w:rsid w:val="00F36433"/>
    <w:rsid w:val="00F451C4"/>
    <w:rsid w:val="00F45523"/>
    <w:rsid w:val="00F541CD"/>
    <w:rsid w:val="00F547B4"/>
    <w:rsid w:val="00F6356A"/>
    <w:rsid w:val="00F639D3"/>
    <w:rsid w:val="00F64F94"/>
    <w:rsid w:val="00F72A9A"/>
    <w:rsid w:val="00F73BF1"/>
    <w:rsid w:val="00F77E79"/>
    <w:rsid w:val="00F808CC"/>
    <w:rsid w:val="00F813FE"/>
    <w:rsid w:val="00F857A7"/>
    <w:rsid w:val="00FA4D4D"/>
    <w:rsid w:val="00FA79A0"/>
    <w:rsid w:val="00FB5D78"/>
    <w:rsid w:val="00FB6D25"/>
    <w:rsid w:val="00FC6AC9"/>
    <w:rsid w:val="00FD48B7"/>
    <w:rsid w:val="00FE29BF"/>
    <w:rsid w:val="00FE4702"/>
    <w:rsid w:val="00FE7858"/>
    <w:rsid w:val="00FF17C5"/>
    <w:rsid w:val="00FF384A"/>
    <w:rsid w:val="00FF5074"/>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B7FADAA-8806-48F6-87D3-342E62C2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4EEF"/>
    <w:pPr>
      <w:spacing w:after="0"/>
      <w:jc w:val="both"/>
    </w:pPr>
    <w:rPr>
      <w:rFonts w:asciiTheme="minorHAnsi" w:hAnsiTheme="minorHAnsi" w:cs="Arial"/>
      <w:sz w:val="18"/>
    </w:rPr>
  </w:style>
  <w:style w:type="paragraph" w:styleId="berschrift1">
    <w:name w:val="heading 1"/>
    <w:basedOn w:val="Standard"/>
    <w:next w:val="Standard"/>
    <w:link w:val="berschrift1Zchn"/>
    <w:uiPriority w:val="9"/>
    <w:qFormat/>
    <w:rsid w:val="00F36433"/>
    <w:pPr>
      <w:keepNext/>
      <w:keepLines/>
      <w:numPr>
        <w:numId w:val="33"/>
      </w:numPr>
      <w:shd w:val="clear" w:color="auto" w:fill="C6D9F1" w:themeFill="text2" w:themeFillTint="33"/>
      <w:spacing w:before="240" w:after="240"/>
      <w:outlineLvl w:val="0"/>
    </w:pPr>
    <w:rPr>
      <w:rFonts w:ascii="Calibri" w:hAnsi="Calibri"/>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0224B7"/>
    <w:pPr>
      <w:numPr>
        <w:ilvl w:val="1"/>
      </w:numPr>
      <w:spacing w:before="0" w:after="0"/>
      <w:outlineLvl w:val="1"/>
    </w:pPr>
    <w:rPr>
      <w:bCs w:val="0"/>
      <w:color w:val="0F243E" w:themeColor="text2" w:themeShade="80"/>
      <w:sz w:val="20"/>
      <w:szCs w:val="26"/>
    </w:rPr>
  </w:style>
  <w:style w:type="paragraph" w:styleId="berschrift3">
    <w:name w:val="heading 3"/>
    <w:basedOn w:val="Standard"/>
    <w:next w:val="Standard"/>
    <w:link w:val="berschrift3Zchn"/>
    <w:autoRedefine/>
    <w:uiPriority w:val="9"/>
    <w:unhideWhenUsed/>
    <w:qFormat/>
    <w:rsid w:val="00AE27DC"/>
    <w:pPr>
      <w:keepNext/>
      <w:keepLines/>
      <w:spacing w:before="240"/>
      <w:outlineLvl w:val="2"/>
    </w:pPr>
    <w:rPr>
      <w:b/>
      <w:bCs/>
      <w:color w:val="000000" w:themeColor="text1"/>
    </w:rPr>
  </w:style>
  <w:style w:type="paragraph" w:styleId="berschrift4">
    <w:name w:val="heading 4"/>
    <w:basedOn w:val="Standard"/>
    <w:next w:val="Standard"/>
    <w:link w:val="berschrift4Zchn"/>
    <w:uiPriority w:val="9"/>
    <w:unhideWhenUsed/>
    <w:rsid w:val="00CA143B"/>
    <w:pPr>
      <w:keepNext/>
      <w:keepLines/>
      <w:numPr>
        <w:ilvl w:val="3"/>
        <w:numId w:val="33"/>
      </w:numPr>
      <w:spacing w:before="200"/>
      <w:outlineLvl w:val="3"/>
    </w:pPr>
    <w:rPr>
      <w:rFonts w:ascii="Cambria" w:hAnsi="Cambria"/>
      <w:b/>
      <w:bCs/>
      <w:i/>
      <w:iCs/>
      <w:color w:val="4F81BD" w:themeColor="accent1"/>
    </w:rPr>
  </w:style>
  <w:style w:type="paragraph" w:styleId="berschrift5">
    <w:name w:val="heading 5"/>
    <w:basedOn w:val="Standard"/>
    <w:next w:val="Standard"/>
    <w:link w:val="berschrift5Zchn"/>
    <w:uiPriority w:val="9"/>
    <w:semiHidden/>
    <w:unhideWhenUsed/>
    <w:qFormat/>
    <w:rsid w:val="00CA143B"/>
    <w:pPr>
      <w:keepNext/>
      <w:keepLines/>
      <w:numPr>
        <w:ilvl w:val="4"/>
        <w:numId w:val="33"/>
      </w:numPr>
      <w:spacing w:before="200"/>
      <w:outlineLvl w:val="4"/>
    </w:pPr>
    <w:rPr>
      <w:rFonts w:ascii="Cambria" w:hAnsi="Cambria"/>
      <w:color w:val="243F60" w:themeColor="accent1" w:themeShade="7F"/>
    </w:rPr>
  </w:style>
  <w:style w:type="paragraph" w:styleId="berschrift6">
    <w:name w:val="heading 6"/>
    <w:basedOn w:val="Standard"/>
    <w:next w:val="Standard"/>
    <w:link w:val="berschrift6Zchn"/>
    <w:uiPriority w:val="9"/>
    <w:semiHidden/>
    <w:unhideWhenUsed/>
    <w:qFormat/>
    <w:rsid w:val="00CA143B"/>
    <w:pPr>
      <w:keepNext/>
      <w:keepLines/>
      <w:numPr>
        <w:ilvl w:val="5"/>
        <w:numId w:val="33"/>
      </w:numPr>
      <w:spacing w:before="200"/>
      <w:outlineLvl w:val="5"/>
    </w:pPr>
    <w:rPr>
      <w:rFonts w:ascii="Cambria" w:hAnsi="Cambria"/>
      <w:i/>
      <w:iCs/>
      <w:color w:val="243F60" w:themeColor="accent1" w:themeShade="7F"/>
    </w:rPr>
  </w:style>
  <w:style w:type="paragraph" w:styleId="berschrift7">
    <w:name w:val="heading 7"/>
    <w:basedOn w:val="Standard"/>
    <w:next w:val="Standard"/>
    <w:link w:val="berschrift7Zchn"/>
    <w:uiPriority w:val="9"/>
    <w:semiHidden/>
    <w:unhideWhenUsed/>
    <w:qFormat/>
    <w:rsid w:val="00CA143B"/>
    <w:pPr>
      <w:keepNext/>
      <w:keepLines/>
      <w:numPr>
        <w:ilvl w:val="6"/>
        <w:numId w:val="33"/>
      </w:numPr>
      <w:spacing w:before="200"/>
      <w:outlineLvl w:val="6"/>
    </w:pPr>
    <w:rPr>
      <w:rFonts w:ascii="Cambria" w:hAnsi="Cambria"/>
      <w:i/>
      <w:iCs/>
      <w:color w:val="404040" w:themeColor="text1" w:themeTint="BF"/>
    </w:rPr>
  </w:style>
  <w:style w:type="paragraph" w:styleId="berschrift8">
    <w:name w:val="heading 8"/>
    <w:basedOn w:val="Standard"/>
    <w:next w:val="Standard"/>
    <w:link w:val="berschrift8Zchn"/>
    <w:uiPriority w:val="9"/>
    <w:semiHidden/>
    <w:unhideWhenUsed/>
    <w:qFormat/>
    <w:rsid w:val="00CA143B"/>
    <w:pPr>
      <w:keepNext/>
      <w:keepLines/>
      <w:numPr>
        <w:ilvl w:val="7"/>
        <w:numId w:val="33"/>
      </w:numPr>
      <w:spacing w:before="200"/>
      <w:outlineLvl w:val="7"/>
    </w:pPr>
    <w:rPr>
      <w:rFonts w:ascii="Cambria" w:hAnsi="Cambria"/>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33"/>
      </w:numPr>
      <w:spacing w:before="200"/>
      <w:outlineLvl w:val="8"/>
    </w:pPr>
    <w:rPr>
      <w:rFonts w:ascii="Cambria" w:hAnsi="Cambria"/>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F36433"/>
    <w:rPr>
      <w:rFonts w:cs="Arial"/>
      <w:b/>
      <w:bCs/>
      <w:color w:val="17365D" w:themeColor="text2" w:themeShade="BF"/>
      <w:sz w:val="24"/>
      <w:szCs w:val="28"/>
      <w:shd w:val="clear" w:color="auto" w:fill="C6D9F1" w:themeFill="text2" w:themeFillTint="33"/>
    </w:rPr>
  </w:style>
  <w:style w:type="paragraph" w:customStyle="1" w:styleId="berschriftohneZahl">
    <w:name w:val="Überschrift ohne Zahl"/>
    <w:basedOn w:val="berschrift1"/>
    <w:next w:val="Standard"/>
    <w:qFormat/>
    <w:rsid w:val="00FB5D78"/>
    <w:pPr>
      <w:numPr>
        <w:numId w:val="0"/>
      </w:numPr>
    </w:pPr>
  </w:style>
  <w:style w:type="character" w:customStyle="1" w:styleId="berschrift2Zchn">
    <w:name w:val="Überschrift 2 Zchn"/>
    <w:basedOn w:val="Absatz-Standardschriftart"/>
    <w:link w:val="berschrift2"/>
    <w:uiPriority w:val="9"/>
    <w:rsid w:val="000224B7"/>
    <w:rPr>
      <w:rFonts w:cs="Arial"/>
      <w:b/>
      <w:color w:val="0F243E" w:themeColor="text2" w:themeShade="80"/>
      <w:sz w:val="20"/>
      <w:szCs w:val="26"/>
      <w:shd w:val="clear" w:color="auto" w:fill="C6D9F1" w:themeFill="text2" w:themeFillTint="33"/>
    </w:rPr>
  </w:style>
  <w:style w:type="table" w:customStyle="1" w:styleId="HelleListe1">
    <w:name w:val="Helle Liste1"/>
    <w:basedOn w:val="NormaleTabelle"/>
    <w:uiPriority w:val="61"/>
    <w:rsid w:val="00501CD5"/>
    <w:pPr>
      <w:spacing w:after="0" w:line="240" w:lineRule="auto"/>
    </w:pPr>
    <w:rPr>
      <w:rFonts w:ascii="Arial" w:eastAsia="Times New Roman" w:hAnsi="Arial" w:cs="Arial"/>
      <w:color w:val="000000"/>
      <w:sz w:val="16"/>
      <w:szCs w:val="20"/>
      <w:lang w:val="de-C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864EEF"/>
    <w:pPr>
      <w:numPr>
        <w:numId w:val="2"/>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pPr>
      <w:spacing w:after="0" w:line="240" w:lineRule="auto"/>
    </w:pPr>
    <w:rPr>
      <w:rFonts w:eastAsia="Times New Roman"/>
      <w:color w:val="000000"/>
      <w:sz w:val="20"/>
      <w:szCs w:val="20"/>
      <w:lang w:bidi="de-D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themeFill="background1"/>
    </w:pPr>
    <w:rPr>
      <w:lang w:val="de-CH"/>
    </w:rPr>
  </w:style>
  <w:style w:type="paragraph" w:customStyle="1" w:styleId="berschriftgrauFett">
    <w:name w:val="Überschrift grau Fett"/>
    <w:basedOn w:val="berschrift1"/>
    <w:rsid w:val="00CA143B"/>
    <w:pPr>
      <w:numPr>
        <w:numId w:val="3"/>
      </w:numPr>
      <w:shd w:val="clear" w:color="auto" w:fill="D9D9D9" w:themeFill="background1" w:themeFillShade="D9"/>
      <w:ind w:left="340" w:hanging="340"/>
    </w:pPr>
    <w:rPr>
      <w:sz w:val="18"/>
    </w:rPr>
  </w:style>
  <w:style w:type="table" w:styleId="Tabellenraster">
    <w:name w:val="Table Grid"/>
    <w:basedOn w:val="NormaleTabelle"/>
    <w:uiPriority w:val="59"/>
    <w:rsid w:val="00464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rschrift3Zchn">
    <w:name w:val="Überschrift 3 Zchn"/>
    <w:basedOn w:val="Absatz-Standardschriftart"/>
    <w:link w:val="berschrift3"/>
    <w:uiPriority w:val="9"/>
    <w:rsid w:val="00AE27DC"/>
    <w:rPr>
      <w:rFonts w:asciiTheme="minorHAnsi" w:hAnsiTheme="minorHAnsi" w:cs="Arial"/>
      <w:b/>
      <w:bCs/>
      <w:color w:val="000000" w:themeColor="text1"/>
      <w:sz w:val="18"/>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themeColor="accent1"/>
      <w:sz w:val="18"/>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themeColor="accent1" w:themeShade="7F"/>
      <w:sz w:val="18"/>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themeColor="accent1" w:themeShade="7F"/>
      <w:sz w:val="18"/>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themeColor="text1" w:themeTint="BF"/>
      <w:sz w:val="18"/>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themeColor="text1" w:themeTint="BF"/>
      <w:sz w:val="20"/>
      <w:szCs w:val="20"/>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themeColor="text1" w:themeTint="BF"/>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themeColor="background1"/>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themeFill="background1"/>
    </w:pPr>
  </w:style>
  <w:style w:type="paragraph" w:customStyle="1" w:styleId="Normal0">
    <w:name w:val="Normal_0"/>
    <w:qFormat/>
    <w:rsid w:val="001D66C3"/>
    <w:rPr>
      <w:sz w:val="24"/>
      <w:szCs w:val="24"/>
    </w:rPr>
  </w:style>
  <w:style w:type="paragraph" w:customStyle="1" w:styleId="Normal1">
    <w:name w:val="Normal_1"/>
    <w:qFormat/>
    <w:rsid w:val="001D66C3"/>
    <w:rPr>
      <w:sz w:val="24"/>
      <w:szCs w:val="24"/>
    </w:rPr>
  </w:style>
  <w:style w:type="paragraph" w:customStyle="1" w:styleId="Normal2">
    <w:name w:val="Normal_2"/>
    <w:qFormat/>
    <w:rsid w:val="001D66C3"/>
    <w:rPr>
      <w:sz w:val="24"/>
      <w:szCs w:val="24"/>
    </w:rPr>
  </w:style>
  <w:style w:type="paragraph" w:customStyle="1" w:styleId="Normal3">
    <w:name w:val="Normal_3"/>
    <w:qFormat/>
    <w:rsid w:val="001D66C3"/>
    <w:rPr>
      <w:sz w:val="24"/>
      <w:szCs w:val="24"/>
    </w:rPr>
  </w:style>
  <w:style w:type="paragraph" w:customStyle="1" w:styleId="Normal4">
    <w:name w:val="Normal_4"/>
    <w:qFormat/>
    <w:rsid w:val="001D66C3"/>
    <w:rPr>
      <w:sz w:val="24"/>
      <w:szCs w:val="24"/>
    </w:rPr>
  </w:style>
  <w:style w:type="paragraph" w:customStyle="1" w:styleId="Normal5">
    <w:name w:val="Normal_5"/>
    <w:qFormat/>
    <w:rsid w:val="001D66C3"/>
    <w:rPr>
      <w:sz w:val="24"/>
      <w:szCs w:val="24"/>
    </w:rPr>
  </w:style>
  <w:style w:type="paragraph" w:customStyle="1" w:styleId="Normal6">
    <w:name w:val="Normal_6"/>
    <w:qFormat/>
    <w:rsid w:val="001D66C3"/>
    <w:rPr>
      <w:sz w:val="24"/>
      <w:szCs w:val="24"/>
    </w:rPr>
  </w:style>
  <w:style w:type="paragraph" w:customStyle="1" w:styleId="Normal7">
    <w:name w:val="Normal_7"/>
    <w:qFormat/>
    <w:rsid w:val="001D66C3"/>
    <w:rPr>
      <w:sz w:val="24"/>
      <w:szCs w:val="24"/>
    </w:rPr>
  </w:style>
  <w:style w:type="paragraph" w:customStyle="1" w:styleId="Normal8">
    <w:name w:val="Normal_8"/>
    <w:qFormat/>
    <w:rsid w:val="001D66C3"/>
    <w:rPr>
      <w:sz w:val="24"/>
      <w:szCs w:val="24"/>
    </w:rPr>
  </w:style>
  <w:style w:type="paragraph" w:customStyle="1" w:styleId="Normal9">
    <w:name w:val="Normal_9"/>
    <w:qFormat/>
    <w:rsid w:val="001D66C3"/>
    <w:rPr>
      <w:sz w:val="24"/>
      <w:szCs w:val="24"/>
    </w:rPr>
  </w:style>
  <w:style w:type="paragraph" w:customStyle="1" w:styleId="Normal10">
    <w:name w:val="Normal_10"/>
    <w:qFormat/>
    <w:rsid w:val="001D66C3"/>
    <w:rPr>
      <w:sz w:val="24"/>
      <w:szCs w:val="24"/>
    </w:rPr>
  </w:style>
  <w:style w:type="paragraph" w:customStyle="1" w:styleId="Normal11">
    <w:name w:val="Normal_11"/>
    <w:qFormat/>
    <w:rsid w:val="001D66C3"/>
    <w:rPr>
      <w:sz w:val="24"/>
      <w:szCs w:val="24"/>
    </w:rPr>
  </w:style>
  <w:style w:type="paragraph" w:customStyle="1" w:styleId="Normal12">
    <w:name w:val="Normal_12"/>
    <w:qFormat/>
    <w:rsid w:val="001D66C3"/>
    <w:rPr>
      <w:sz w:val="24"/>
      <w:szCs w:val="24"/>
    </w:rPr>
  </w:style>
  <w:style w:type="paragraph" w:customStyle="1" w:styleId="Normal13">
    <w:name w:val="Normal_13"/>
    <w:qFormat/>
    <w:rsid w:val="001D66C3"/>
    <w:rPr>
      <w:sz w:val="24"/>
      <w:szCs w:val="24"/>
    </w:rPr>
  </w:style>
  <w:style w:type="paragraph" w:customStyle="1" w:styleId="Normal14">
    <w:name w:val="Normal_14"/>
    <w:qFormat/>
    <w:rsid w:val="001D66C3"/>
    <w:rPr>
      <w:sz w:val="24"/>
      <w:szCs w:val="24"/>
    </w:rPr>
  </w:style>
  <w:style w:type="paragraph" w:customStyle="1" w:styleId="Normal15">
    <w:name w:val="Normal_15"/>
    <w:qFormat/>
    <w:rsid w:val="001D66C3"/>
    <w:rPr>
      <w:sz w:val="24"/>
      <w:szCs w:val="24"/>
    </w:rPr>
  </w:style>
  <w:style w:type="paragraph" w:customStyle="1" w:styleId="Literatur">
    <w:name w:val="Literatur"/>
    <w:basedOn w:val="Standard"/>
    <w:link w:val="LiteraturZchn"/>
    <w:qFormat/>
    <w:rsid w:val="00740848"/>
    <w:pPr>
      <w:spacing w:line="320" w:lineRule="exact"/>
      <w:ind w:left="2835" w:hanging="2835"/>
    </w:pPr>
    <w:rPr>
      <w:rFonts w:eastAsiaTheme="minorHAnsi"/>
      <w:color w:val="000000"/>
      <w:sz w:val="22"/>
      <w:lang w:val="de-AT"/>
    </w:rPr>
  </w:style>
  <w:style w:type="character" w:customStyle="1" w:styleId="LiteraturZchn">
    <w:name w:val="Literatur Zchn"/>
    <w:basedOn w:val="Absatz-Standardschriftart"/>
    <w:link w:val="Literatur"/>
    <w:rsid w:val="00740848"/>
    <w:rPr>
      <w:rFonts w:ascii="Arial" w:eastAsiaTheme="minorHAnsi" w:hAnsi="Arial" w:cs="Arial"/>
      <w:color w:val="000000"/>
      <w:lang w:val="de-AT"/>
    </w:rPr>
  </w:style>
  <w:style w:type="paragraph" w:styleId="Liste2">
    <w:name w:val="List 2"/>
    <w:basedOn w:val="Standard"/>
    <w:semiHidden/>
    <w:rsid w:val="00900236"/>
    <w:pPr>
      <w:numPr>
        <w:numId w:val="4"/>
      </w:numPr>
      <w:spacing w:line="320" w:lineRule="exact"/>
    </w:pPr>
    <w:rPr>
      <w:rFonts w:eastAsia="Times New Roman"/>
      <w:color w:val="000000"/>
      <w:sz w:val="22"/>
      <w:szCs w:val="24"/>
      <w:lang w:val="de-AT" w:eastAsia="de-DE"/>
    </w:rPr>
  </w:style>
  <w:style w:type="paragraph" w:styleId="StandardWeb">
    <w:name w:val="Normal (Web)"/>
    <w:basedOn w:val="Standard"/>
    <w:uiPriority w:val="99"/>
    <w:semiHidden/>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Theme="majorHAnsi" w:eastAsiaTheme="majorEastAsia" w:hAnsiTheme="majorHAnsi" w:cstheme="majorBidi"/>
      <w:color w:val="365F91" w:themeColor="accent1" w:themeShade="BF"/>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rFonts w:eastAsiaTheme="minorHAnsi"/>
      <w:szCs w:val="18"/>
      <w:lang w:val="de-AT"/>
    </w:rPr>
  </w:style>
  <w:style w:type="character" w:customStyle="1" w:styleId="StandardAbsZchn">
    <w:name w:val="StandardAbs Zchn"/>
    <w:basedOn w:val="Absatz-Standardschriftart"/>
    <w:link w:val="StandardAbs"/>
    <w:rsid w:val="00AC7903"/>
    <w:rPr>
      <w:rFonts w:ascii="Arial" w:eastAsiaTheme="minorHAns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rFonts w:eastAsiaTheme="minorHAnsi"/>
      <w:sz w:val="22"/>
      <w:lang w:val="de-AT"/>
    </w:rPr>
  </w:style>
  <w:style w:type="paragraph" w:customStyle="1" w:styleId="KapitelUeberschrift">
    <w:name w:val="Kapitel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KapitelUeberschrift2">
    <w:name w:val="KapitelUeberschrift2"/>
    <w:basedOn w:val="Kapitel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spacing w:after="0" w:line="240" w:lineRule="auto"/>
      <w:jc w:val="both"/>
    </w:pPr>
    <w:rPr>
      <w:rFonts w:ascii="Arial" w:eastAsia="Times New Roman" w:hAnsi="Arial"/>
      <w:lang w:val="de-AT" w:eastAsia="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
    <w:name w:val="Standa"/>
    <w:link w:val="StandaZchn"/>
    <w:rsid w:val="00E33F5E"/>
    <w:pPr>
      <w:spacing w:after="240" w:line="230" w:lineRule="atLeast"/>
      <w:jc w:val="both"/>
    </w:pPr>
    <w:rPr>
      <w:rFonts w:ascii="Arial" w:eastAsia="MS Mincho" w:hAnsi="Arial" w:cs="Arial"/>
      <w:color w:val="000000"/>
      <w:sz w:val="20"/>
      <w:szCs w:val="20"/>
      <w:lang w:eastAsia="ja-JP" w:bidi="de-DE"/>
    </w:rPr>
  </w:style>
  <w:style w:type="character" w:customStyle="1" w:styleId="StandaZchn">
    <w:name w:val="Standa Zchn"/>
    <w:basedOn w:val="Absatz-Standardschriftart"/>
    <w:link w:val="Standa"/>
    <w:rsid w:val="00E33F5E"/>
    <w:rPr>
      <w:rFonts w:ascii="Arial" w:eastAsia="MS Mincho" w:hAnsi="Arial" w:cs="Arial"/>
      <w:color w:val="000000"/>
      <w:sz w:val="20"/>
      <w:szCs w:val="20"/>
      <w:lang w:eastAsia="ja-JP" w:bidi="de-DE"/>
    </w:rPr>
  </w:style>
  <w:style w:type="paragraph" w:styleId="Beschriftung">
    <w:name w:val="caption"/>
    <w:basedOn w:val="Standard"/>
    <w:next w:val="Standard"/>
    <w:uiPriority w:val="35"/>
    <w:unhideWhenUsed/>
    <w:qFormat/>
    <w:rsid w:val="00E170F3"/>
    <w:pPr>
      <w:spacing w:after="200" w:line="240" w:lineRule="auto"/>
    </w:pPr>
    <w:rPr>
      <w:b/>
      <w:bCs/>
      <w:color w:val="4F81BD" w:themeColor="accent1"/>
      <w:szCs w:val="18"/>
    </w:rPr>
  </w:style>
  <w:style w:type="character" w:styleId="BesuchterHyperlink">
    <w:name w:val="FollowedHyperlink"/>
    <w:basedOn w:val="Absatz-Standardschriftart"/>
    <w:uiPriority w:val="99"/>
    <w:semiHidden/>
    <w:unhideWhenUsed/>
    <w:rsid w:val="001F2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hkw-anlagen.com/100kwbiomassebhkw/strohballenvergaser/strohalsbrennstoff/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achhaltigesbauen.de/fileadmin/pdf/baustoff_gebauededaten/BNB_Nutzungsdauern_von_Bauteilen__2011-11-03.pdf" TargetMode="External"/><Relationship Id="rId10" Type="http://schemas.openxmlformats.org/officeDocument/2006/relationships/hyperlink" Target="http://www.bau-epd.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1F3C-85FD-4351-B5FE-B3102E2B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4484</Words>
  <Characters>28253</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cp:lastModifiedBy>
  <cp:revision>6</cp:revision>
  <cp:lastPrinted>2014-07-01T11:35:00Z</cp:lastPrinted>
  <dcterms:created xsi:type="dcterms:W3CDTF">2014-07-01T10:44:00Z</dcterms:created>
  <dcterms:modified xsi:type="dcterms:W3CDTF">2014-07-01T12:25:00Z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